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46544">
      <w:pPr>
        <w:spacing w:after="85"/>
        <w:ind w:left="11" w:right="288" w:firstLine="721"/>
        <w:jc w:val="center"/>
        <w:rPr>
          <w:rFonts w:ascii="华文中宋" w:hAnsi="华文中宋" w:eastAsia="华文中宋" w:cs="华文中宋"/>
          <w:sz w:val="36"/>
        </w:rPr>
      </w:pPr>
      <w:r>
        <w:rPr>
          <w:rFonts w:hint="eastAsia" w:ascii="华文中宋" w:hAnsi="华文中宋" w:eastAsia="华文中宋" w:cs="华文中宋"/>
          <w:sz w:val="36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华文中宋" w:hAnsi="华文中宋" w:eastAsia="华文中宋" w:cs="华文中宋"/>
          <w:sz w:val="36"/>
          <w:lang w:eastAsia="zh-TW"/>
        </w:rPr>
        <w:t>西南财经大学继续教育学院</w:t>
      </w:r>
      <w:r>
        <w:rPr>
          <w:rFonts w:ascii="华文中宋" w:hAnsi="华文中宋" w:eastAsia="华文中宋" w:cs="华文中宋"/>
          <w:sz w:val="36"/>
        </w:rPr>
        <w:t>学位论文评审平台</w:t>
      </w:r>
    </w:p>
    <w:p w14:paraId="637A1D26">
      <w:pPr>
        <w:spacing w:after="85"/>
        <w:ind w:left="11" w:right="288" w:firstLine="721"/>
        <w:jc w:val="center"/>
      </w:pPr>
      <w:r>
        <w:rPr>
          <w:rFonts w:ascii="华文中宋" w:hAnsi="华文中宋" w:eastAsia="华文中宋" w:cs="华文中宋"/>
          <w:sz w:val="36"/>
        </w:rPr>
        <w:t xml:space="preserve">操作说明 </w:t>
      </w:r>
    </w:p>
    <w:p w14:paraId="4DE72C63">
      <w:pPr>
        <w:ind w:left="7" w:right="286" w:firstLine="482"/>
        <w:jc w:val="center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（2025年2月版）</w:t>
      </w:r>
    </w:p>
    <w:p w14:paraId="33B6D31F">
      <w:pPr>
        <w:spacing w:after="229"/>
        <w:ind w:left="8" w:firstLine="562"/>
        <w:jc w:val="center"/>
        <w:rPr>
          <w:rFonts w:ascii="黑体" w:hAnsi="黑体" w:eastAsia="黑体" w:cs="黑体"/>
          <w:sz w:val="28"/>
        </w:rPr>
      </w:pPr>
    </w:p>
    <w:sdt>
      <w:sdtPr>
        <w:rPr>
          <w:rFonts w:ascii="宋体" w:hAnsi="宋体" w:eastAsia="宋体"/>
        </w:rPr>
        <w:id w:val="14747720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/>
        </w:rPr>
      </w:sdtEndPr>
      <w:sdtContent>
        <w:p w14:paraId="504EAF3A">
          <w:pPr>
            <w:spacing w:after="0" w:line="240" w:lineRule="auto"/>
            <w:ind w:left="6" w:firstLine="422"/>
            <w:jc w:val="center"/>
            <w:rPr>
              <w:sz w:val="32"/>
              <w:szCs w:val="32"/>
            </w:rPr>
          </w:pPr>
          <w:bookmarkStart w:id="0" w:name="_Toc21094"/>
          <w:r>
            <w:rPr>
              <w:rFonts w:ascii="宋体" w:hAnsi="宋体" w:eastAsia="宋体"/>
              <w:b/>
              <w:bCs/>
              <w:sz w:val="32"/>
              <w:szCs w:val="32"/>
            </w:rPr>
            <w:t>目</w:t>
          </w:r>
          <w:r>
            <w:rPr>
              <w:rFonts w:hint="eastAsia" w:ascii="宋体" w:hAnsi="宋体" w:eastAsia="宋体"/>
              <w:b/>
              <w:bCs/>
              <w:sz w:val="32"/>
              <w:szCs w:val="32"/>
            </w:rPr>
            <w:t xml:space="preserve"> </w:t>
          </w:r>
          <w:r>
            <w:rPr>
              <w:rFonts w:ascii="宋体" w:hAnsi="宋体" w:eastAsia="宋体"/>
              <w:b/>
              <w:bCs/>
              <w:sz w:val="32"/>
              <w:szCs w:val="32"/>
            </w:rPr>
            <w:t>录</w:t>
          </w:r>
        </w:p>
        <w:p w14:paraId="190A940A">
          <w:pPr>
            <w:pStyle w:val="7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TOC \o "1-3" \h \u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fldChar w:fldCharType="begin"/>
          </w:r>
          <w:r>
            <w:instrText xml:space="preserve"> HYPERLINK \l "_Toc20836"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一、登录学位论文评审平台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instrText xml:space="preserve"> PAGEREF _Toc20836 \h </w:instrTex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1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</w:p>
        <w:p w14:paraId="54AC82B9">
          <w:pPr>
            <w:pStyle w:val="8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"_Toc10644"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（一）下载安装谷歌浏览器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_Toc10644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1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24EA5902">
          <w:pPr>
            <w:pStyle w:val="8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"_Toc1898"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（二）登录学位论文评审平台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_Toc1898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1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61BD96AB">
          <w:pPr>
            <w:pStyle w:val="4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"_Toc11115"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1.打开学位论文评审平台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_Toc11115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1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4FA09646">
          <w:pPr>
            <w:pStyle w:val="4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"_Toc29902"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2.登录学位论文评审平台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_Toc29902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2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071BE277">
          <w:pPr>
            <w:pStyle w:val="7"/>
            <w:tabs>
              <w:tab w:val="right" w:leader="dot" w:pos="8591"/>
            </w:tabs>
            <w:rPr>
              <w:rFonts w:ascii="宋体" w:hAnsi="宋体" w:eastAsia="宋体" w:cs="宋体"/>
              <w:b/>
              <w:bCs/>
              <w:sz w:val="24"/>
              <w:szCs w:val="24"/>
            </w:rPr>
          </w:pPr>
          <w:r>
            <w:fldChar w:fldCharType="begin"/>
          </w:r>
          <w:r>
            <w:instrText xml:space="preserve"> HYPERLINK \l "_Toc28319"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二、查看/下载毕业论文定稿及查重报告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instrText xml:space="preserve"> PAGEREF _Toc28319 \h </w:instrTex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3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</w:p>
        <w:p w14:paraId="7FDAE55B">
          <w:pPr>
            <w:pStyle w:val="7"/>
            <w:tabs>
              <w:tab w:val="right" w:leader="dot" w:pos="8591"/>
            </w:tabs>
            <w:rPr>
              <w:rFonts w:ascii="宋体" w:hAnsi="宋体" w:eastAsia="宋体" w:cs="宋体"/>
              <w:b/>
              <w:bCs/>
              <w:sz w:val="24"/>
              <w:szCs w:val="24"/>
            </w:rPr>
          </w:pPr>
          <w:r>
            <w:fldChar w:fldCharType="begin"/>
          </w:r>
          <w:r>
            <w:instrText xml:space="preserve"> HYPERLINK \l "_Toc23730"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三、上传学位论文评审材料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instrText xml:space="preserve"> PAGEREF _Toc23730 \h </w:instrTex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4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</w:p>
        <w:p w14:paraId="379CF8B5">
          <w:pPr>
            <w:pStyle w:val="8"/>
            <w:tabs>
              <w:tab w:val="right" w:leader="dot" w:pos="8591"/>
            </w:tabs>
            <w:rPr>
              <w:rFonts w:hint="eastAsia"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"_Toc18631"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（</w: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en-US" w:eastAsia="zh-CN"/>
            </w:rPr>
            <w:t>一</w:t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）确认论文题目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4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0DF4AED3">
          <w:pPr>
            <w:pStyle w:val="8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"_Toc10347"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（</w: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en-US" w:eastAsia="zh-CN"/>
            </w:rPr>
            <w:t>二</w:t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）填写“关键词”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4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0F23EC45">
          <w:pPr>
            <w:pStyle w:val="8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"_Toc20140"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（</w: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en-US" w:eastAsia="zh-CN"/>
            </w:rPr>
            <w:t>三</w:t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）填写“研究方向”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4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1D14FDB6">
          <w:pPr>
            <w:pStyle w:val="8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"_Toc27297"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（</w: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en-US" w:eastAsia="zh-CN"/>
            </w:rPr>
            <w:t>四</w:t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）上传《学术诚信承诺书》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4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0862DF72">
          <w:pPr>
            <w:pStyle w:val="8"/>
            <w:tabs>
              <w:tab w:val="right" w:leader="dot" w:pos="8591"/>
            </w:tabs>
            <w:ind w:left="0" w:leftChars="0" w:firstLine="420" w:firstLineChars="200"/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"_Toc10134"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（</w: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五</w:t>
          </w:r>
          <w:r>
            <w:rPr>
              <w:rFonts w:hint="eastAsia" w:ascii="宋体" w:hAnsi="宋体" w:eastAsia="宋体" w:cs="宋体"/>
              <w:sz w:val="24"/>
              <w:szCs w:val="24"/>
            </w:rPr>
            <w:t>）进行论文格式检测及</w:t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查看学位论文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5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3D8307D3">
          <w:pPr>
            <w:pStyle w:val="4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"_Toc20611"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1.进行论文格式检测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5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73100B46">
          <w:pPr>
            <w:pStyle w:val="4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"_Toc7717"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2.查看学位论文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_Toc7717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5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7CA17C36">
          <w:pPr>
            <w:pStyle w:val="8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"_Toc27761"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（</w: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en-US" w:eastAsia="zh-CN"/>
            </w:rPr>
            <w:t>六</w:t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）上传学位论文查重报告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/>
            </w:rPr>
            <w:t>6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2E02D653">
          <w:pPr>
            <w:pStyle w:val="7"/>
            <w:tabs>
              <w:tab w:val="right" w:leader="dot" w:pos="8591"/>
            </w:tabs>
            <w:rPr>
              <w:rFonts w:ascii="宋体" w:hAnsi="宋体" w:eastAsia="宋体" w:cs="宋体"/>
              <w:b/>
              <w:bCs/>
              <w:sz w:val="24"/>
              <w:szCs w:val="24"/>
            </w:rPr>
          </w:pPr>
          <w:r>
            <w:fldChar w:fldCharType="begin"/>
          </w:r>
          <w:r>
            <w:instrText xml:space="preserve"> HYPERLINK \l "_Toc12816"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四、学位论文材料初审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instrText xml:space="preserve"> PAGEREF _Toc12816 \h </w:instrTex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7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</w:p>
        <w:p w14:paraId="35A84B11">
          <w:pPr>
            <w:pStyle w:val="7"/>
            <w:tabs>
              <w:tab w:val="right" w:leader="dot" w:pos="8591"/>
            </w:tabs>
            <w:rPr>
              <w:rFonts w:ascii="宋体" w:hAnsi="宋体" w:eastAsia="宋体" w:cs="宋体"/>
              <w:b/>
              <w:bCs/>
              <w:sz w:val="24"/>
              <w:szCs w:val="24"/>
            </w:rPr>
          </w:pPr>
          <w:r>
            <w:fldChar w:fldCharType="begin"/>
          </w:r>
          <w:r>
            <w:instrText xml:space="preserve"> HYPERLINK \l "_Toc21599"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五、学位论文专家评审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instrText xml:space="preserve"> PAGEREF _Toc21599 \h </w:instrTex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7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</w:p>
        <w:p w14:paraId="1236F594">
          <w:pPr>
            <w:pStyle w:val="8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"_Toc23344"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（一）学位论文专家评审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_Toc23344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7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468FD135">
          <w:pPr>
            <w:pStyle w:val="8"/>
            <w:tabs>
              <w:tab w:val="right" w:leader="dot" w:pos="8591"/>
            </w:tabs>
            <w:rPr>
              <w:rFonts w:ascii="宋体" w:hAnsi="宋体" w:eastAsia="宋体" w:cs="宋体"/>
              <w:sz w:val="24"/>
              <w:szCs w:val="24"/>
            </w:rPr>
          </w:pPr>
          <w:r>
            <w:fldChar w:fldCharType="begin"/>
          </w:r>
          <w:r>
            <w:instrText xml:space="preserve"> HYPERLINK \l "_Toc17392"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Cs/>
              <w:sz w:val="24"/>
              <w:szCs w:val="24"/>
            </w:rPr>
            <w:t>（二）学位论文专家复审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_Toc17392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8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390C7303">
          <w:pPr>
            <w:pStyle w:val="7"/>
            <w:tabs>
              <w:tab w:val="right" w:leader="dot" w:pos="8591"/>
            </w:tabs>
            <w:rPr>
              <w:rFonts w:ascii="宋体" w:hAnsi="宋体" w:eastAsia="宋体" w:cs="宋体"/>
              <w:b/>
              <w:bCs/>
              <w:sz w:val="24"/>
              <w:szCs w:val="24"/>
            </w:rPr>
          </w:pPr>
          <w:r>
            <w:fldChar w:fldCharType="begin"/>
          </w:r>
          <w:r>
            <w:instrText xml:space="preserve"> HYPERLINK \l "_Toc32453"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六、申诉与复核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instrText xml:space="preserve"> PAGEREF _Toc32453 \h </w:instrTex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8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</w:p>
        <w:p w14:paraId="2101040F">
          <w:pPr>
            <w:pStyle w:val="7"/>
            <w:tabs>
              <w:tab w:val="right" w:leader="dot" w:pos="8591"/>
            </w:tabs>
            <w:rPr>
              <w:rFonts w:ascii="宋体" w:hAnsi="宋体" w:eastAsia="宋体" w:cs="宋体"/>
              <w:b/>
              <w:bCs/>
              <w:sz w:val="24"/>
              <w:szCs w:val="24"/>
            </w:rPr>
          </w:pPr>
          <w:r>
            <w:fldChar w:fldCharType="begin"/>
          </w:r>
          <w:r>
            <w:instrText xml:space="preserve"> HYPERLINK \l "_Toc26870"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七、咨询服务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instrText xml:space="preserve"> PAGEREF _Toc26870 \h </w:instrTex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t>8</w:t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/>
              <w:bCs/>
              <w:sz w:val="24"/>
              <w:szCs w:val="24"/>
            </w:rPr>
            <w:fldChar w:fldCharType="end"/>
          </w:r>
        </w:p>
        <w:p w14:paraId="3D14F734">
          <w:pPr>
            <w:ind w:firstLine="643"/>
          </w:pP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</w:sdtContent>
    </w:sdt>
    <w:p w14:paraId="6343804E">
      <w:pPr>
        <w:spacing w:after="230" w:line="410" w:lineRule="auto"/>
        <w:ind w:left="11" w:right="277" w:hanging="10" w:hangingChars="3"/>
        <w:jc w:val="center"/>
        <w:outlineLvl w:val="0"/>
        <w:rPr>
          <w:rFonts w:ascii="华文中宋" w:hAnsi="华文中宋" w:eastAsia="华文中宋" w:cs="华文中宋"/>
          <w:sz w:val="36"/>
        </w:rPr>
        <w:sectPr>
          <w:headerReference r:id="rId5" w:type="default"/>
          <w:footerReference r:id="rId6" w:type="default"/>
          <w:pgSz w:w="11906" w:h="16838"/>
          <w:pgMar w:top="1452" w:right="1515" w:bottom="1019" w:left="1800" w:header="720" w:footer="720" w:gutter="0"/>
          <w:pgNumType w:start="1"/>
          <w:cols w:space="720" w:num="1"/>
        </w:sectPr>
      </w:pPr>
      <w:bookmarkStart w:id="1" w:name="_Toc12904"/>
    </w:p>
    <w:p w14:paraId="60EE652C">
      <w:pPr>
        <w:spacing w:after="230" w:line="410" w:lineRule="auto"/>
        <w:ind w:left="11" w:right="277" w:hanging="11" w:hangingChars="3"/>
        <w:jc w:val="center"/>
        <w:rPr>
          <w:rFonts w:ascii="华文中宋" w:hAnsi="华文中宋" w:eastAsia="华文中宋" w:cs="华文中宋"/>
          <w:b/>
          <w:bCs/>
          <w:sz w:val="36"/>
        </w:rPr>
      </w:pPr>
      <w:r>
        <w:rPr>
          <w:rFonts w:ascii="华文中宋" w:hAnsi="华文中宋" w:eastAsia="华文中宋" w:cs="华文中宋"/>
          <w:b/>
          <w:bCs/>
          <w:sz w:val="36"/>
        </w:rPr>
        <w:t>学位论文评审平台操作说明</w:t>
      </w:r>
      <w:bookmarkEnd w:id="0"/>
      <w:bookmarkEnd w:id="1"/>
    </w:p>
    <w:p w14:paraId="1632B3BC">
      <w:pPr>
        <w:pStyle w:val="2"/>
      </w:pPr>
      <w:bookmarkStart w:id="2" w:name="_Toc20836"/>
      <w:r>
        <w:t>一</w:t>
      </w:r>
      <w:r>
        <w:rPr>
          <w:rFonts w:hint="eastAsia"/>
        </w:rPr>
        <w:t>、登录</w:t>
      </w:r>
      <w:r>
        <w:t>学位论文评审平台</w:t>
      </w:r>
      <w:bookmarkEnd w:id="2"/>
    </w:p>
    <w:p w14:paraId="789BF5A3">
      <w:pPr>
        <w:pStyle w:val="3"/>
      </w:pPr>
      <w:bookmarkStart w:id="3" w:name="_Toc10644"/>
      <w:r>
        <w:t>（一）下载安装谷歌浏览器</w:t>
      </w:r>
      <w:bookmarkEnd w:id="3"/>
    </w:p>
    <w:p w14:paraId="079863E6">
      <w:pPr>
        <w:pStyle w:val="19"/>
      </w:pPr>
      <w:r>
        <w:t>请使用最新版的谷歌浏览器（电脑端）登录“学位论文评审平台”。谷歌浏览器下载链接为</w:t>
      </w:r>
      <w:r>
        <w:rPr>
          <w:rFonts w:hint="eastAsia"/>
        </w:rPr>
        <w:t>：https://www.google.cn/intl/zh-CN/chrome/</w:t>
      </w:r>
      <w:r>
        <w:fldChar w:fldCharType="begin"/>
      </w:r>
      <w:r>
        <w:instrText xml:space="preserve"> HYPERLINK "https://www.google.cn/intl/zh-CN/chrome/" \h </w:instrText>
      </w:r>
      <w:r>
        <w:fldChar w:fldCharType="separate"/>
      </w:r>
      <w:r>
        <w:t>。</w:t>
      </w:r>
      <w:r>
        <w:fldChar w:fldCharType="end"/>
      </w:r>
    </w:p>
    <w:p w14:paraId="3360E32A">
      <w:pPr>
        <w:pStyle w:val="3"/>
      </w:pPr>
      <w:bookmarkStart w:id="4" w:name="_Toc1898"/>
      <w:r>
        <w:t>（二）登录学位论文评审平台</w:t>
      </w:r>
      <w:bookmarkEnd w:id="4"/>
    </w:p>
    <w:p w14:paraId="756912A3">
      <w:pPr>
        <w:pStyle w:val="18"/>
        <w:ind w:firstLine="562"/>
        <w:outlineLvl w:val="2"/>
        <w:rPr>
          <w:b/>
          <w:bCs/>
        </w:rPr>
      </w:pPr>
      <w:bookmarkStart w:id="5" w:name="_Toc11115"/>
      <w:r>
        <w:rPr>
          <w:b/>
          <w:bCs/>
        </w:rPr>
        <w:t>1.打开学位论文评审平台</w:t>
      </w:r>
      <w:bookmarkEnd w:id="5"/>
    </w:p>
    <w:p w14:paraId="4EA9A65B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打开</w:t>
      </w:r>
      <w:r>
        <w:rPr>
          <w:rFonts w:ascii="仿宋" w:hAnsi="仿宋" w:eastAsia="仿宋" w:cs="仿宋"/>
          <w:sz w:val="28"/>
        </w:rPr>
        <w:t>“西财在线”</w:t>
      </w:r>
      <w:r>
        <w:rPr>
          <w:rFonts w:hint="eastAsia" w:ascii="仿宋" w:hAnsi="仿宋" w:eastAsia="仿宋" w:cs="仿宋"/>
          <w:sz w:val="28"/>
        </w:rPr>
        <w:t>（https://xczx.swufe.edu.cn/</w:t>
      </w:r>
      <w:r>
        <w:rPr>
          <w:rFonts w:hint="eastAsia" w:ascii="仿宋" w:hAnsi="仿宋" w:eastAsia="仿宋" w:cs="仿宋"/>
          <w:sz w:val="28"/>
        </w:rPr>
        <w:fldChar w:fldCharType="begin"/>
      </w:r>
      <w:r>
        <w:rPr>
          <w:rFonts w:hint="eastAsia" w:ascii="仿宋" w:hAnsi="仿宋" w:eastAsia="仿宋" w:cs="仿宋"/>
          <w:sz w:val="28"/>
        </w:rPr>
        <w:instrText xml:space="preserve"> HYPERLINK "https://www.swufe-online.com/" \h </w:instrText>
      </w:r>
      <w:r>
        <w:rPr>
          <w:rFonts w:hint="eastAsia" w:ascii="仿宋" w:hAnsi="仿宋" w:eastAsia="仿宋" w:cs="仿宋"/>
          <w:sz w:val="28"/>
        </w:rPr>
        <w:fldChar w:fldCharType="separate"/>
      </w:r>
      <w:r>
        <w:rPr>
          <w:rFonts w:hint="eastAsia" w:ascii="仿宋" w:hAnsi="仿宋" w:eastAsia="仿宋" w:cs="仿宋"/>
          <w:sz w:val="28"/>
        </w:rPr>
        <w:t>）</w:t>
      </w:r>
      <w:r>
        <w:rPr>
          <w:rFonts w:hint="eastAsia" w:ascii="仿宋" w:hAnsi="仿宋" w:eastAsia="仿宋" w:cs="仿宋"/>
          <w:sz w:val="28"/>
        </w:rPr>
        <w:fldChar w:fldCharType="end"/>
      </w:r>
      <w:r>
        <w:rPr>
          <w:rFonts w:ascii="仿宋" w:hAnsi="仿宋" w:eastAsia="仿宋" w:cs="仿宋"/>
          <w:sz w:val="28"/>
        </w:rPr>
        <w:t>首页</w:t>
      </w:r>
      <w:r>
        <w:rPr>
          <w:rFonts w:hint="eastAsia" w:ascii="仿宋" w:hAnsi="仿宋" w:eastAsia="仿宋" w:cs="仿宋"/>
          <w:sz w:val="28"/>
        </w:rPr>
        <w:t>，点击</w:t>
      </w:r>
      <w:r>
        <w:rPr>
          <w:rFonts w:ascii="仿宋" w:hAnsi="仿宋" w:eastAsia="仿宋" w:cs="仿宋"/>
          <w:sz w:val="28"/>
        </w:rPr>
        <w:t>右</w:t>
      </w:r>
      <w:r>
        <w:rPr>
          <w:rFonts w:hint="eastAsia" w:ascii="仿宋" w:hAnsi="仿宋" w:eastAsia="仿宋" w:cs="仿宋"/>
          <w:sz w:val="28"/>
        </w:rPr>
        <w:t>上方的“西财在线入口”，在</w:t>
      </w:r>
      <w:r>
        <w:rPr>
          <w:rFonts w:ascii="仿宋" w:hAnsi="仿宋" w:eastAsia="仿宋" w:cs="仿宋"/>
          <w:sz w:val="28"/>
        </w:rPr>
        <w:t>“</w:t>
      </w:r>
      <w:r>
        <w:rPr>
          <w:rFonts w:hint="eastAsia" w:ascii="仿宋" w:hAnsi="仿宋" w:eastAsia="仿宋" w:cs="仿宋"/>
          <w:sz w:val="28"/>
        </w:rPr>
        <w:t>便捷入口</w:t>
      </w:r>
      <w:r>
        <w:rPr>
          <w:rFonts w:ascii="仿宋" w:hAnsi="仿宋" w:eastAsia="仿宋" w:cs="仿宋"/>
          <w:sz w:val="28"/>
        </w:rPr>
        <w:t>”中点击“学生事务办理”（</w:t>
      </w:r>
      <w:r>
        <w:rPr>
          <w:rFonts w:hint="eastAsia" w:ascii="仿宋" w:hAnsi="仿宋" w:eastAsia="仿宋" w:cs="仿宋"/>
          <w:sz w:val="28"/>
        </w:rPr>
        <w:t>见</w:t>
      </w:r>
      <w:r>
        <w:rPr>
          <w:rFonts w:ascii="仿宋" w:hAnsi="仿宋" w:eastAsia="仿宋" w:cs="仿宋"/>
          <w:sz w:val="28"/>
        </w:rPr>
        <w:t>图1），</w:t>
      </w:r>
      <w:r>
        <w:rPr>
          <w:rFonts w:hint="eastAsia" w:ascii="仿宋" w:hAnsi="仿宋" w:eastAsia="仿宋" w:cs="仿宋"/>
          <w:sz w:val="28"/>
        </w:rPr>
        <w:t>再点击</w:t>
      </w:r>
      <w:r>
        <w:rPr>
          <w:rFonts w:ascii="仿宋" w:hAnsi="仿宋" w:eastAsia="仿宋" w:cs="仿宋"/>
          <w:sz w:val="28"/>
        </w:rPr>
        <w:t>“学位论文评审”板块</w:t>
      </w:r>
      <w:r>
        <w:rPr>
          <w:rFonts w:hint="eastAsia" w:ascii="仿宋" w:hAnsi="仿宋" w:eastAsia="仿宋" w:cs="仿宋"/>
          <w:sz w:val="28"/>
        </w:rPr>
        <w:t>右下方的</w:t>
      </w:r>
      <w:r>
        <w:rPr>
          <w:rFonts w:ascii="仿宋" w:hAnsi="仿宋" w:eastAsia="仿宋" w:cs="仿宋"/>
          <w:sz w:val="28"/>
        </w:rPr>
        <w:t>“前往查看”（</w:t>
      </w:r>
      <w:r>
        <w:rPr>
          <w:rFonts w:hint="eastAsia" w:ascii="仿宋" w:hAnsi="仿宋" w:eastAsia="仿宋" w:cs="仿宋"/>
          <w:sz w:val="28"/>
        </w:rPr>
        <w:t>见</w:t>
      </w:r>
      <w:r>
        <w:rPr>
          <w:rFonts w:ascii="仿宋" w:hAnsi="仿宋" w:eastAsia="仿宋" w:cs="仿宋"/>
          <w:sz w:val="28"/>
        </w:rPr>
        <w:t>图2），即可打开“学位论文评审平台”登录界面。</w:t>
      </w:r>
    </w:p>
    <w:p w14:paraId="5B207432">
      <w:pPr>
        <w:spacing w:after="0" w:line="580" w:lineRule="exact"/>
        <w:jc w:val="both"/>
        <w:rPr>
          <w:rFonts w:ascii="仿宋" w:hAnsi="仿宋" w:eastAsia="仿宋" w:cs="仿宋"/>
          <w:sz w:val="28"/>
        </w:rPr>
      </w:pPr>
    </w:p>
    <w:p w14:paraId="0B19BF8C">
      <w:pPr>
        <w:spacing w:after="0" w:line="580" w:lineRule="exact"/>
        <w:jc w:val="both"/>
        <w:rPr>
          <w:rFonts w:ascii="仿宋" w:hAnsi="仿宋" w:eastAsia="仿宋" w:cs="仿宋"/>
          <w:sz w:val="28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296545</wp:posOffset>
            </wp:positionH>
            <wp:positionV relativeFrom="paragraph">
              <wp:posOffset>93980</wp:posOffset>
            </wp:positionV>
            <wp:extent cx="5024120" cy="2860675"/>
            <wp:effectExtent l="0" t="0" r="5080" b="1587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3134" cy="2888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5D51A4">
      <w:pPr>
        <w:spacing w:after="0" w:line="580" w:lineRule="exact"/>
        <w:jc w:val="both"/>
        <w:rPr>
          <w:rFonts w:ascii="仿宋" w:hAnsi="仿宋" w:eastAsia="仿宋" w:cs="仿宋"/>
          <w:sz w:val="28"/>
        </w:rPr>
      </w:pPr>
    </w:p>
    <w:p w14:paraId="4BC7A285">
      <w:pPr>
        <w:spacing w:after="0" w:line="580" w:lineRule="exact"/>
        <w:jc w:val="both"/>
        <w:rPr>
          <w:rFonts w:ascii="仿宋" w:hAnsi="仿宋" w:eastAsia="仿宋" w:cs="仿宋"/>
          <w:sz w:val="28"/>
        </w:rPr>
      </w:pPr>
    </w:p>
    <w:p w14:paraId="6EBDE1D1">
      <w:pPr>
        <w:spacing w:after="0" w:line="580" w:lineRule="exact"/>
        <w:jc w:val="both"/>
        <w:rPr>
          <w:rFonts w:ascii="仿宋" w:hAnsi="仿宋" w:eastAsia="仿宋" w:cs="仿宋"/>
          <w:sz w:val="28"/>
        </w:rPr>
      </w:pPr>
    </w:p>
    <w:p w14:paraId="52A8C507">
      <w:pPr>
        <w:spacing w:after="0" w:line="580" w:lineRule="exact"/>
        <w:jc w:val="both"/>
        <w:rPr>
          <w:rFonts w:ascii="仿宋" w:hAnsi="仿宋" w:eastAsia="仿宋" w:cs="仿宋"/>
          <w:sz w:val="28"/>
        </w:rPr>
      </w:pPr>
    </w:p>
    <w:p w14:paraId="7E12F726">
      <w:pPr>
        <w:spacing w:after="0" w:line="580" w:lineRule="exact"/>
        <w:jc w:val="both"/>
        <w:rPr>
          <w:rFonts w:ascii="仿宋" w:hAnsi="仿宋" w:eastAsia="仿宋" w:cs="仿宋"/>
          <w:sz w:val="28"/>
        </w:rPr>
      </w:pPr>
    </w:p>
    <w:p w14:paraId="16674133">
      <w:pPr>
        <w:spacing w:after="0" w:line="580" w:lineRule="exact"/>
        <w:jc w:val="both"/>
        <w:rPr>
          <w:rFonts w:ascii="仿宋" w:hAnsi="仿宋" w:eastAsia="仿宋" w:cs="仿宋"/>
          <w:sz w:val="28"/>
        </w:rPr>
      </w:pPr>
    </w:p>
    <w:p w14:paraId="40108426">
      <w:pPr>
        <w:spacing w:after="0" w:line="580" w:lineRule="exact"/>
        <w:jc w:val="both"/>
        <w:rPr>
          <w:rFonts w:ascii="仿宋" w:hAnsi="仿宋" w:eastAsia="仿宋" w:cs="仿宋"/>
          <w:sz w:val="28"/>
        </w:rPr>
      </w:pPr>
    </w:p>
    <w:p w14:paraId="55A160DC">
      <w:pPr>
        <w:spacing w:after="3" w:line="415" w:lineRule="auto"/>
        <w:ind w:left="11" w:firstLine="643"/>
        <w:jc w:val="center"/>
      </w:pPr>
    </w:p>
    <w:p w14:paraId="042D36E2">
      <w:pPr>
        <w:spacing w:after="0" w:line="298" w:lineRule="auto"/>
        <w:jc w:val="center"/>
        <w:rPr>
          <w:rFonts w:hint="default" w:ascii="仿宋" w:hAnsi="仿宋" w:eastAsia="仿宋" w:cs="仿宋"/>
          <w:b/>
          <w:bCs/>
          <w:sz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lang w:val="en-US" w:eastAsia="zh-CN"/>
        </w:rPr>
        <w:t>图1 西财在线入口</w:t>
      </w:r>
    </w:p>
    <w:p w14:paraId="310F60FC">
      <w:pPr>
        <w:spacing w:after="3" w:line="415" w:lineRule="auto"/>
        <w:ind w:left="11" w:firstLine="643"/>
        <w:jc w:val="center"/>
      </w:pPr>
    </w:p>
    <w:p w14:paraId="1311102C">
      <w:pPr>
        <w:spacing w:after="3" w:line="415" w:lineRule="auto"/>
        <w:ind w:left="11" w:firstLine="643"/>
        <w:jc w:val="center"/>
      </w:pPr>
      <w:r>
        <w:rPr>
          <w:rFonts w:ascii="宋体" w:hAnsi="宋体" w:eastAsia="宋体" w:cs="宋体"/>
          <w:kern w:val="0"/>
          <w:sz w:val="24"/>
          <w:szCs w:val="24"/>
          <w:lang w:bidi="ar"/>
        </w:rPr>
        <w:drawing>
          <wp:inline distT="0" distB="0" distL="114300" distR="114300">
            <wp:extent cx="5459730" cy="3832860"/>
            <wp:effectExtent l="0" t="0" r="7620" b="15240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9730" cy="383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65395A">
      <w:pPr>
        <w:spacing w:after="199" w:line="279" w:lineRule="auto"/>
        <w:ind w:left="11" w:firstLine="643"/>
        <w:jc w:val="center"/>
      </w:pPr>
      <w:r>
        <w:rPr>
          <w:rFonts w:ascii="仿宋" w:hAnsi="仿宋" w:eastAsia="仿宋" w:cs="仿宋"/>
          <w:b/>
          <w:bCs/>
          <w:sz w:val="28"/>
        </w:rPr>
        <w:t>图2 “学位论文评审”-“前往查看”</w:t>
      </w:r>
      <w:r>
        <w:rPr>
          <w:rFonts w:hint="eastAsia" w:ascii="仿宋" w:hAnsi="仿宋" w:eastAsia="仿宋" w:cs="仿宋"/>
          <w:b/>
          <w:bCs/>
          <w:sz w:val="28"/>
        </w:rPr>
        <w:t>界面</w:t>
      </w:r>
    </w:p>
    <w:p w14:paraId="7135D811">
      <w:pPr>
        <w:spacing w:after="0" w:line="580" w:lineRule="exact"/>
        <w:ind w:firstLine="562" w:firstLineChars="200"/>
        <w:jc w:val="both"/>
        <w:outlineLvl w:val="2"/>
        <w:rPr>
          <w:b/>
          <w:bCs/>
        </w:rPr>
      </w:pPr>
      <w:bookmarkStart w:id="6" w:name="_Toc29902"/>
      <w:r>
        <w:rPr>
          <w:rFonts w:ascii="仿宋" w:hAnsi="仿宋" w:eastAsia="仿宋" w:cs="仿宋"/>
          <w:b/>
          <w:bCs/>
          <w:sz w:val="28"/>
        </w:rPr>
        <w:t>2.登录学位论文评审平台</w:t>
      </w:r>
      <w:bookmarkEnd w:id="6"/>
    </w:p>
    <w:p w14:paraId="30ED29BE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ascii="仿宋" w:hAnsi="仿宋" w:eastAsia="仿宋" w:cs="仿宋"/>
          <w:sz w:val="28"/>
        </w:rPr>
        <w:t>（1）</w:t>
      </w:r>
      <w:r>
        <w:rPr>
          <w:rFonts w:hint="eastAsia" w:ascii="仿宋" w:hAnsi="仿宋" w:eastAsia="仿宋" w:cs="仿宋"/>
          <w:sz w:val="28"/>
        </w:rPr>
        <w:t>在登录界面认真阅读《登录须知》后</w:t>
      </w:r>
      <w:r>
        <w:rPr>
          <w:rFonts w:ascii="仿宋" w:hAnsi="仿宋" w:eastAsia="仿宋" w:cs="仿宋"/>
          <w:sz w:val="28"/>
        </w:rPr>
        <w:t>正确</w:t>
      </w:r>
      <w:r>
        <w:rPr>
          <w:rFonts w:hint="eastAsia" w:ascii="仿宋" w:hAnsi="仿宋" w:eastAsia="仿宋" w:cs="仿宋"/>
          <w:sz w:val="28"/>
        </w:rPr>
        <w:t>输入</w:t>
      </w:r>
      <w:r>
        <w:rPr>
          <w:rFonts w:ascii="仿宋" w:hAnsi="仿宋" w:eastAsia="仿宋" w:cs="仿宋"/>
          <w:sz w:val="28"/>
        </w:rPr>
        <w:t>本人的学号</w:t>
      </w:r>
      <w:r>
        <w:rPr>
          <w:rFonts w:hint="eastAsia" w:ascii="仿宋" w:hAnsi="仿宋" w:eastAsia="仿宋" w:cs="仿宋"/>
          <w:sz w:val="28"/>
        </w:rPr>
        <w:t>/准考证号</w:t>
      </w:r>
      <w:r>
        <w:rPr>
          <w:rFonts w:ascii="仿宋" w:hAnsi="仿宋" w:eastAsia="仿宋" w:cs="仿宋"/>
          <w:sz w:val="28"/>
        </w:rPr>
        <w:t>、身份证号以及验证码（</w:t>
      </w:r>
      <w:r>
        <w:rPr>
          <w:rFonts w:hint="eastAsia" w:ascii="仿宋" w:hAnsi="仿宋" w:eastAsia="仿宋" w:cs="仿宋"/>
          <w:sz w:val="28"/>
        </w:rPr>
        <w:t>见</w:t>
      </w:r>
      <w:r>
        <w:rPr>
          <w:rFonts w:ascii="仿宋" w:hAnsi="仿宋" w:eastAsia="仿宋" w:cs="仿宋"/>
          <w:sz w:val="28"/>
        </w:rPr>
        <w:t>图3），点击“登录”后，即可进入学位论文评审平台。</w:t>
      </w:r>
    </w:p>
    <w:p w14:paraId="223AFE9F">
      <w:pPr>
        <w:spacing w:after="0" w:line="298" w:lineRule="auto"/>
        <w:ind w:left="11" w:firstLine="562"/>
        <w:jc w:val="center"/>
      </w:pPr>
      <w:r>
        <w:drawing>
          <wp:inline distT="0" distB="0" distL="114300" distR="114300">
            <wp:extent cx="5454650" cy="2877185"/>
            <wp:effectExtent l="0" t="0" r="1270" b="317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4650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AF388">
      <w:pPr>
        <w:spacing w:after="0" w:line="298" w:lineRule="auto"/>
        <w:ind w:left="11" w:firstLine="562"/>
        <w:jc w:val="center"/>
        <w:rPr>
          <w:rFonts w:ascii="仿宋" w:hAnsi="仿宋" w:eastAsia="仿宋" w:cs="仿宋"/>
          <w:sz w:val="28"/>
        </w:rPr>
      </w:pPr>
      <w:r>
        <w:rPr>
          <w:rFonts w:ascii="仿宋" w:hAnsi="仿宋" w:eastAsia="仿宋" w:cs="仿宋"/>
          <w:b/>
          <w:bCs/>
          <w:sz w:val="28"/>
        </w:rPr>
        <w:t>图3 学位论文评审平台登录界面</w:t>
      </w:r>
    </w:p>
    <w:p w14:paraId="568B0A80">
      <w:pPr>
        <w:spacing w:after="0" w:line="580" w:lineRule="exact"/>
        <w:ind w:firstLine="562" w:firstLineChars="200"/>
        <w:jc w:val="both"/>
        <w:rPr>
          <w:rFonts w:ascii="仿宋" w:hAnsi="仿宋" w:eastAsia="仿宋" w:cs="仿宋"/>
          <w:sz w:val="28"/>
        </w:rPr>
      </w:pPr>
      <w:r>
        <w:rPr>
          <w:rFonts w:ascii="仿宋" w:hAnsi="仿宋" w:eastAsia="仿宋" w:cs="仿宋"/>
          <w:b/>
          <w:bCs/>
          <w:sz w:val="28"/>
        </w:rPr>
        <w:t>注：</w:t>
      </w:r>
      <w:r>
        <w:rPr>
          <w:rFonts w:hint="eastAsia" w:ascii="仿宋" w:hAnsi="仿宋" w:eastAsia="仿宋" w:cs="仿宋"/>
          <w:b/>
          <w:bCs/>
          <w:sz w:val="28"/>
        </w:rPr>
        <w:t>若</w:t>
      </w:r>
      <w:r>
        <w:rPr>
          <w:rFonts w:ascii="仿宋" w:hAnsi="仿宋" w:eastAsia="仿宋" w:cs="仿宋"/>
          <w:b/>
          <w:bCs/>
          <w:sz w:val="28"/>
        </w:rPr>
        <w:t>平台提</w:t>
      </w:r>
      <w:r>
        <w:rPr>
          <w:rFonts w:hint="eastAsia" w:ascii="仿宋" w:hAnsi="仿宋" w:eastAsia="仿宋" w:cs="仿宋"/>
          <w:b/>
          <w:bCs/>
          <w:sz w:val="28"/>
        </w:rPr>
        <w:t>示</w:t>
      </w:r>
      <w:r>
        <w:rPr>
          <w:rFonts w:ascii="仿宋" w:hAnsi="仿宋" w:eastAsia="仿宋" w:cs="仿宋"/>
          <w:b/>
          <w:bCs/>
          <w:sz w:val="28"/>
        </w:rPr>
        <w:t>登录失败，请核实本人是否符合学位论文评审申请条件，并确认填写的学号、身份证号以及验证码是否正确。</w:t>
      </w:r>
    </w:p>
    <w:p w14:paraId="366AA243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ascii="仿宋" w:hAnsi="仿宋" w:eastAsia="仿宋" w:cs="仿宋"/>
          <w:sz w:val="28"/>
        </w:rPr>
        <w:t>（2）登录后，请立即核实“学生信息”处的学号、姓名、</w:t>
      </w:r>
      <w:r>
        <w:rPr>
          <w:rFonts w:hint="eastAsia" w:ascii="仿宋" w:hAnsi="仿宋" w:eastAsia="仿宋" w:cs="仿宋"/>
          <w:sz w:val="28"/>
        </w:rPr>
        <w:t>联系电话、</w:t>
      </w:r>
      <w:r>
        <w:rPr>
          <w:rFonts w:ascii="仿宋" w:hAnsi="仿宋" w:eastAsia="仿宋" w:cs="仿宋"/>
          <w:sz w:val="28"/>
        </w:rPr>
        <w:t>论文题目等信息是否正确（</w:t>
      </w:r>
      <w:r>
        <w:rPr>
          <w:rFonts w:hint="eastAsia" w:ascii="仿宋" w:hAnsi="仿宋" w:eastAsia="仿宋" w:cs="仿宋"/>
          <w:sz w:val="28"/>
        </w:rPr>
        <w:t>见</w:t>
      </w:r>
      <w:r>
        <w:rPr>
          <w:rFonts w:ascii="仿宋" w:hAnsi="仿宋" w:eastAsia="仿宋" w:cs="仿宋"/>
          <w:sz w:val="28"/>
        </w:rPr>
        <w:t>图4）。</w:t>
      </w:r>
    </w:p>
    <w:p w14:paraId="5748ECA9">
      <w:pPr>
        <w:spacing w:after="0" w:line="298" w:lineRule="auto"/>
        <w:ind w:left="8" w:firstLine="562"/>
        <w:jc w:val="center"/>
        <w:rPr>
          <w:rFonts w:ascii="仿宋" w:hAnsi="仿宋" w:eastAsia="仿宋" w:cs="仿宋"/>
          <w:b/>
          <w:bCs/>
          <w:sz w:val="28"/>
        </w:rPr>
      </w:pPr>
      <w:r>
        <w:drawing>
          <wp:inline distT="0" distB="0" distL="114300" distR="114300">
            <wp:extent cx="5452110" cy="2881630"/>
            <wp:effectExtent l="0" t="0" r="3810" b="1397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211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D7E11">
      <w:pPr>
        <w:spacing w:after="0" w:line="298" w:lineRule="auto"/>
        <w:ind w:left="8" w:firstLine="562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图4 学位论文评审平台学生界面</w:t>
      </w:r>
    </w:p>
    <w:p w14:paraId="0F774BA9">
      <w:pPr>
        <w:pStyle w:val="2"/>
      </w:pPr>
      <w:bookmarkStart w:id="7" w:name="_Toc28319"/>
      <w:r>
        <w:t>二</w:t>
      </w:r>
      <w:r>
        <w:rPr>
          <w:rFonts w:hint="eastAsia"/>
        </w:rPr>
        <w:t>、</w:t>
      </w:r>
      <w:r>
        <w:t>查看</w:t>
      </w:r>
      <w:r>
        <w:rPr>
          <w:rFonts w:hint="eastAsia"/>
        </w:rPr>
        <w:t>/</w:t>
      </w:r>
      <w:r>
        <w:t>下载毕业论文定稿及查重报告</w:t>
      </w:r>
      <w:bookmarkEnd w:id="7"/>
    </w:p>
    <w:p w14:paraId="5EFA4016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ascii="仿宋" w:hAnsi="仿宋" w:eastAsia="仿宋" w:cs="仿宋"/>
          <w:sz w:val="28"/>
        </w:rPr>
        <w:t>学生可在“查看/下载毕业论文定稿及查重报告”处下载</w:t>
      </w:r>
      <w:r>
        <w:rPr>
          <w:rFonts w:hint="eastAsia" w:ascii="仿宋" w:hAnsi="仿宋" w:eastAsia="仿宋" w:cs="仿宋"/>
          <w:sz w:val="28"/>
        </w:rPr>
        <w:t>毕业时的</w:t>
      </w:r>
      <w:r>
        <w:rPr>
          <w:rFonts w:ascii="仿宋" w:hAnsi="仿宋" w:eastAsia="仿宋" w:cs="仿宋"/>
          <w:sz w:val="28"/>
        </w:rPr>
        <w:t>定稿论文</w:t>
      </w:r>
      <w:r>
        <w:rPr>
          <w:rFonts w:hint="eastAsia" w:ascii="仿宋" w:hAnsi="仿宋" w:eastAsia="仿宋" w:cs="仿宋"/>
          <w:sz w:val="28"/>
        </w:rPr>
        <w:t>、</w:t>
      </w:r>
      <w:r>
        <w:rPr>
          <w:rFonts w:ascii="仿宋" w:hAnsi="仿宋" w:eastAsia="仿宋" w:cs="仿宋"/>
          <w:sz w:val="28"/>
        </w:rPr>
        <w:t>查重报告以及论文模板（</w:t>
      </w:r>
      <w:r>
        <w:rPr>
          <w:rFonts w:hint="eastAsia" w:ascii="仿宋" w:hAnsi="仿宋" w:eastAsia="仿宋" w:cs="仿宋"/>
          <w:sz w:val="28"/>
        </w:rPr>
        <w:t>见</w:t>
      </w:r>
      <w:r>
        <w:rPr>
          <w:rFonts w:ascii="仿宋" w:hAnsi="仿宋" w:eastAsia="仿宋" w:cs="仿宋"/>
          <w:sz w:val="28"/>
        </w:rPr>
        <w:t>图5）</w:t>
      </w:r>
    </w:p>
    <w:p w14:paraId="57E36BC5">
      <w:pPr>
        <w:spacing w:after="197" w:line="281" w:lineRule="auto"/>
        <w:ind w:left="11" w:firstLine="643"/>
        <w:jc w:val="center"/>
        <w:rPr>
          <w:rFonts w:ascii="仿宋" w:hAnsi="仿宋" w:eastAsia="仿宋" w:cs="仿宋"/>
          <w:sz w:val="28"/>
        </w:rPr>
      </w:pPr>
      <w:r>
        <w:drawing>
          <wp:inline distT="0" distB="0" distL="114300" distR="114300">
            <wp:extent cx="5760720" cy="2840990"/>
            <wp:effectExtent l="0" t="0" r="0" b="889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b/>
          <w:bCs/>
          <w:sz w:val="28"/>
        </w:rPr>
        <w:t>图5 “查看/下载毕业论文定稿及查重报告”界面</w:t>
      </w:r>
    </w:p>
    <w:p w14:paraId="5CB6CC44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根据学位论文相关制度，从2024年下半年起，学位论文正文（不包括封面、知识产权声明、摘要、目录、参考文献、致谢、封底）字数要求10000～12000字，参考文献不少于12篇，重复率≤20%，格式检测差错率≤5‱，即每1万字格式错误不超过5个。</w:t>
      </w:r>
      <w:r>
        <w:rPr>
          <w:rFonts w:hint="eastAsia" w:ascii="仿宋" w:hAnsi="仿宋" w:eastAsia="仿宋" w:cs="仿宋"/>
          <w:b/>
          <w:bCs/>
          <w:sz w:val="28"/>
        </w:rPr>
        <w:t>评审机会只有一次，</w:t>
      </w:r>
      <w:r>
        <w:rPr>
          <w:rFonts w:ascii="仿宋" w:hAnsi="仿宋" w:eastAsia="仿宋" w:cs="仿宋"/>
          <w:b/>
          <w:bCs/>
          <w:sz w:val="28"/>
        </w:rPr>
        <w:t>请务必</w:t>
      </w:r>
      <w:r>
        <w:rPr>
          <w:rFonts w:hint="eastAsia" w:ascii="仿宋" w:hAnsi="仿宋" w:eastAsia="仿宋" w:cs="仿宋"/>
          <w:b/>
          <w:bCs/>
          <w:sz w:val="28"/>
        </w:rPr>
        <w:t>确保最终上传的学位</w:t>
      </w:r>
      <w:r>
        <w:rPr>
          <w:rFonts w:ascii="仿宋" w:hAnsi="仿宋" w:eastAsia="仿宋" w:cs="仿宋"/>
          <w:b/>
          <w:bCs/>
          <w:sz w:val="28"/>
        </w:rPr>
        <w:t>论文</w:t>
      </w:r>
      <w:r>
        <w:rPr>
          <w:rFonts w:hint="eastAsia" w:ascii="仿宋" w:hAnsi="仿宋" w:eastAsia="仿宋" w:cs="仿宋"/>
          <w:b/>
          <w:bCs/>
          <w:sz w:val="28"/>
        </w:rPr>
        <w:t>、查重报告以及格式检测符合</w:t>
      </w:r>
      <w:r>
        <w:rPr>
          <w:rFonts w:ascii="仿宋" w:hAnsi="仿宋" w:eastAsia="仿宋" w:cs="仿宋"/>
          <w:b/>
          <w:bCs/>
          <w:sz w:val="28"/>
        </w:rPr>
        <w:t>评审</w:t>
      </w:r>
      <w:r>
        <w:rPr>
          <w:rFonts w:hint="eastAsia" w:ascii="仿宋" w:hAnsi="仿宋" w:eastAsia="仿宋" w:cs="仿宋"/>
          <w:b/>
          <w:bCs/>
          <w:sz w:val="28"/>
        </w:rPr>
        <w:t>要求。</w:t>
      </w:r>
    </w:p>
    <w:p w14:paraId="788C4BBF">
      <w:pPr>
        <w:pStyle w:val="2"/>
        <w:numPr>
          <w:ilvl w:val="0"/>
          <w:numId w:val="1"/>
        </w:numPr>
      </w:pPr>
      <w:bookmarkStart w:id="8" w:name="_Toc23730"/>
      <w:r>
        <w:t>上传学位论文评审材料</w:t>
      </w:r>
      <w:bookmarkEnd w:id="8"/>
    </w:p>
    <w:p w14:paraId="0B9A044C">
      <w:pPr>
        <w:spacing w:after="0" w:line="580" w:lineRule="exact"/>
        <w:ind w:firstLine="560" w:firstLineChars="200"/>
        <w:jc w:val="both"/>
        <w:outlineLvl w:val="1"/>
      </w:pPr>
      <w:r>
        <w:rPr>
          <w:rFonts w:hint="eastAsia" w:ascii="仿宋" w:hAnsi="仿宋" w:eastAsia="仿宋" w:cs="仿宋"/>
          <w:color w:val="FF0000"/>
          <w:sz w:val="28"/>
        </w:rPr>
        <w:t>上传通过格式检测“合格”的学位论文、学位论文查重报告、《学术诚信承诺书》以及填写论文题目、关键词和研究方向是必须提交的评审材料，若未按时、按要求提交视为评审材料不齐全，将无法进入初审环节。</w:t>
      </w:r>
    </w:p>
    <w:p w14:paraId="00B81439">
      <w:pPr>
        <w:spacing w:after="0" w:line="580" w:lineRule="exact"/>
        <w:ind w:firstLine="562" w:firstLineChars="200"/>
        <w:jc w:val="both"/>
        <w:outlineLvl w:val="1"/>
        <w:rPr>
          <w:rFonts w:ascii="楷体" w:hAnsi="楷体" w:eastAsia="楷体" w:cs="楷体"/>
          <w:b/>
          <w:bCs/>
          <w:color w:val="000000"/>
          <w:sz w:val="28"/>
        </w:rPr>
      </w:pPr>
      <w:bookmarkStart w:id="9" w:name="_Toc18631"/>
      <w:bookmarkStart w:id="10" w:name="_Toc20140"/>
      <w:bookmarkStart w:id="11" w:name="_Toc27761"/>
      <w:r>
        <w:rPr>
          <w:rFonts w:hint="eastAsia" w:ascii="楷体" w:hAnsi="楷体" w:eastAsia="楷体" w:cs="楷体"/>
          <w:b/>
          <w:bCs/>
          <w:color w:val="000000"/>
          <w:sz w:val="28"/>
        </w:rPr>
        <w:t>（</w:t>
      </w:r>
      <w:r>
        <w:rPr>
          <w:rFonts w:hint="eastAsia" w:ascii="楷体" w:hAnsi="楷体" w:eastAsia="楷体" w:cs="楷体"/>
          <w:b/>
          <w:bCs/>
          <w:color w:val="000000"/>
          <w:sz w:val="28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color w:val="000000"/>
          <w:sz w:val="28"/>
        </w:rPr>
        <w:t>）确认论文题目</w:t>
      </w:r>
      <w:bookmarkEnd w:id="9"/>
    </w:p>
    <w:p w14:paraId="54A820DC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请确认“论文题目”是否与上传论文文档题目一致，若论文题目有调整，请点击“修改”按钮修改，务必确保平台的论文题目与论文文档题目一致。</w:t>
      </w:r>
    </w:p>
    <w:p w14:paraId="367A87FD">
      <w:pPr>
        <w:spacing w:after="0" w:line="580" w:lineRule="exact"/>
        <w:ind w:firstLine="562" w:firstLineChars="200"/>
        <w:jc w:val="both"/>
        <w:outlineLvl w:val="1"/>
        <w:rPr>
          <w:rFonts w:ascii="楷体" w:hAnsi="楷体" w:eastAsia="楷体" w:cs="楷体"/>
          <w:b/>
          <w:bCs/>
          <w:color w:val="000000"/>
          <w:sz w:val="28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</w:rPr>
        <w:t>（</w:t>
      </w:r>
      <w:r>
        <w:rPr>
          <w:rFonts w:hint="eastAsia" w:ascii="楷体" w:hAnsi="楷体" w:eastAsia="楷体" w:cs="楷体"/>
          <w:b/>
          <w:bCs/>
          <w:color w:val="000000"/>
          <w:sz w:val="28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color w:val="000000"/>
          <w:sz w:val="28"/>
        </w:rPr>
        <w:t>）填写“关键词”</w:t>
      </w:r>
    </w:p>
    <w:p w14:paraId="347F171F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请按要求填写与上传论文文档一致的“关键词”。关键词填写要求：限100个汉字以内，以中英文分号“；”分隔。</w:t>
      </w:r>
    </w:p>
    <w:p w14:paraId="2DA758BF">
      <w:pPr>
        <w:spacing w:after="0" w:line="580" w:lineRule="exact"/>
        <w:ind w:firstLine="562" w:firstLineChars="200"/>
        <w:jc w:val="both"/>
        <w:outlineLvl w:val="1"/>
        <w:rPr>
          <w:rFonts w:ascii="楷体" w:hAnsi="楷体" w:eastAsia="楷体" w:cs="楷体"/>
          <w:b/>
          <w:bCs/>
          <w:color w:val="000000"/>
          <w:sz w:val="28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</w:rPr>
        <w:t>（</w:t>
      </w:r>
      <w:r>
        <w:rPr>
          <w:rFonts w:hint="eastAsia" w:ascii="楷体" w:hAnsi="楷体" w:eastAsia="楷体" w:cs="楷体"/>
          <w:b/>
          <w:bCs/>
          <w:color w:val="000000"/>
          <w:sz w:val="28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color w:val="000000"/>
          <w:sz w:val="28"/>
        </w:rPr>
        <w:t>）填写“研究方向”</w:t>
      </w:r>
      <w:bookmarkEnd w:id="10"/>
    </w:p>
    <w:p w14:paraId="7D868DE3">
      <w:pPr>
        <w:spacing w:after="0" w:line="580" w:lineRule="exact"/>
        <w:ind w:firstLine="560" w:firstLineChars="200"/>
        <w:jc w:val="both"/>
        <w:rPr>
          <w:rFonts w:hint="eastAsia" w:ascii="仿宋" w:hAnsi="仿宋" w:eastAsia="仿宋" w:cs="仿宋"/>
          <w:sz w:val="28"/>
          <w:lang w:val="en-US" w:eastAsia="zh-CN"/>
        </w:rPr>
      </w:pPr>
      <w:r>
        <w:rPr>
          <w:rFonts w:hint="eastAsia" w:ascii="仿宋" w:hAnsi="仿宋" w:eastAsia="仿宋" w:cs="仿宋"/>
          <w:sz w:val="28"/>
        </w:rPr>
        <w:t>请按要求填写“研究方向”。研究方向填写要求：每个研究方向限15个汉字以内，限填两个研究方向，以中英文分号“；”分隔；论文研究方向不能与专业名称相同。</w:t>
      </w:r>
      <w:r>
        <w:rPr>
          <w:rFonts w:hint="eastAsia" w:ascii="仿宋" w:hAnsi="仿宋" w:eastAsia="仿宋" w:cs="仿宋"/>
          <w:sz w:val="28"/>
          <w:lang w:val="en-US" w:eastAsia="zh-CN"/>
        </w:rPr>
        <w:t>完成后点击“提交信息”。</w:t>
      </w:r>
    </w:p>
    <w:p w14:paraId="1FDEDBF5">
      <w:pPr>
        <w:spacing w:after="0" w:line="580" w:lineRule="exact"/>
        <w:ind w:firstLine="562" w:firstLineChars="200"/>
        <w:jc w:val="both"/>
        <w:outlineLvl w:val="1"/>
        <w:rPr>
          <w:rFonts w:ascii="宋体" w:hAnsi="宋体" w:eastAsia="宋体" w:cs="Arial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12" w:name="_Toc27297"/>
      <w:r>
        <w:rPr>
          <w:rFonts w:hint="eastAsia" w:ascii="楷体" w:hAnsi="楷体" w:eastAsia="楷体" w:cs="楷体"/>
          <w:b/>
          <w:bCs/>
          <w:color w:val="000000"/>
          <w:sz w:val="28"/>
        </w:rPr>
        <w:t>（</w:t>
      </w:r>
      <w:r>
        <w:rPr>
          <w:rFonts w:hint="eastAsia" w:ascii="楷体" w:hAnsi="楷体" w:eastAsia="楷体" w:cs="楷体"/>
          <w:b/>
          <w:bCs/>
          <w:color w:val="000000"/>
          <w:sz w:val="28"/>
          <w:lang w:val="en-US" w:eastAsia="zh-CN"/>
        </w:rPr>
        <w:t>四</w:t>
      </w:r>
      <w:r>
        <w:rPr>
          <w:rFonts w:hint="eastAsia" w:ascii="楷体" w:hAnsi="楷体" w:eastAsia="楷体" w:cs="楷体"/>
          <w:b/>
          <w:bCs/>
          <w:color w:val="000000"/>
          <w:sz w:val="28"/>
        </w:rPr>
        <w:t>）上传《学术诚信承诺书》</w:t>
      </w:r>
      <w:bookmarkEnd w:id="12"/>
    </w:p>
    <w:p w14:paraId="0B7BC72E">
      <w:pPr>
        <w:spacing w:after="0" w:line="580" w:lineRule="exact"/>
        <w:ind w:firstLine="560" w:firstLineChars="200"/>
        <w:jc w:val="both"/>
        <w:rPr>
          <w:rFonts w:hint="eastAsia" w:ascii="仿宋" w:hAnsi="仿宋" w:eastAsia="仿宋" w:cs="仿宋"/>
          <w:sz w:val="28"/>
          <w:lang w:val="en-US" w:eastAsia="zh-CN"/>
        </w:rPr>
      </w:pPr>
      <w:r>
        <w:rPr>
          <w:rFonts w:hint="eastAsia" w:ascii="仿宋" w:hAnsi="仿宋" w:eastAsia="仿宋" w:cs="仿宋"/>
          <w:sz w:val="28"/>
        </w:rPr>
        <w:t>请认真阅读《学术诚信承诺书》（见附件5</w:t>
      </w:r>
      <w:r>
        <w:rPr>
          <w:rFonts w:hint="eastAsia" w:ascii="仿宋" w:hAnsi="仿宋" w:eastAsia="仿宋" w:cs="仿宋"/>
          <w:sz w:val="28"/>
          <w:lang w:val="en-US" w:eastAsia="zh-CN"/>
        </w:rPr>
        <w:t>或直接点击“模板下载”</w:t>
      </w:r>
      <w:r>
        <w:rPr>
          <w:rFonts w:hint="eastAsia" w:ascii="仿宋" w:hAnsi="仿宋" w:eastAsia="仿宋" w:cs="仿宋"/>
          <w:sz w:val="28"/>
        </w:rPr>
        <w:t>），打印并手写签名后以JPG格式在“学术诚信承诺书”处上传,请务必确认学术诚信承诺书上传是否正确。</w:t>
      </w:r>
    </w:p>
    <w:p w14:paraId="786DDD58">
      <w:pPr>
        <w:pStyle w:val="3"/>
      </w:pPr>
      <w:bookmarkStart w:id="13" w:name="_Toc10134"/>
      <w:r>
        <w:rPr>
          <w:rFonts w:hint="eastAsia"/>
        </w:rPr>
        <w:t>（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）进行论文格式检测及查看学位论文</w:t>
      </w:r>
      <w:bookmarkEnd w:id="13"/>
    </w:p>
    <w:p w14:paraId="332983EA">
      <w:pPr>
        <w:spacing w:after="0" w:line="580" w:lineRule="exact"/>
        <w:ind w:firstLine="562" w:firstLineChars="200"/>
        <w:jc w:val="both"/>
        <w:outlineLvl w:val="2"/>
        <w:rPr>
          <w:rFonts w:ascii="仿宋" w:hAnsi="仿宋" w:eastAsia="仿宋" w:cs="仿宋"/>
          <w:b/>
          <w:bCs/>
          <w:sz w:val="28"/>
        </w:rPr>
      </w:pPr>
      <w:bookmarkStart w:id="14" w:name="_Toc20611"/>
      <w:r>
        <w:rPr>
          <w:rFonts w:hint="eastAsia" w:ascii="仿宋" w:hAnsi="仿宋" w:eastAsia="仿宋" w:cs="仿宋"/>
          <w:b/>
          <w:bCs/>
          <w:sz w:val="28"/>
        </w:rPr>
        <w:t>1.进行论文格式检测</w:t>
      </w:r>
      <w:bookmarkEnd w:id="14"/>
    </w:p>
    <w:p w14:paraId="45D1B6E3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ascii="仿宋" w:hAnsi="仿宋" w:eastAsia="仿宋" w:cs="仿宋"/>
          <w:sz w:val="28"/>
        </w:rPr>
        <w:t>论文评审材料确认无误后</w:t>
      </w:r>
      <w:r>
        <w:rPr>
          <w:rFonts w:hint="eastAsia" w:ascii="仿宋" w:hAnsi="仿宋" w:eastAsia="仿宋" w:cs="仿宋"/>
          <w:sz w:val="28"/>
        </w:rPr>
        <w:t>学生须在“</w:t>
      </w:r>
      <w:r>
        <w:rPr>
          <w:rFonts w:ascii="仿宋" w:hAnsi="仿宋" w:eastAsia="仿宋" w:cs="仿宋"/>
          <w:sz w:val="28"/>
        </w:rPr>
        <w:t>论文格式检测</w:t>
      </w:r>
      <w:r>
        <w:rPr>
          <w:rFonts w:hint="eastAsia" w:ascii="仿宋" w:hAnsi="仿宋" w:eastAsia="仿宋" w:cs="仿宋"/>
          <w:sz w:val="28"/>
        </w:rPr>
        <w:t>”—“</w:t>
      </w:r>
      <w:r>
        <w:rPr>
          <w:rFonts w:ascii="仿宋" w:hAnsi="仿宋" w:eastAsia="仿宋" w:cs="仿宋"/>
          <w:sz w:val="28"/>
        </w:rPr>
        <w:t>前往论文格式检测平台</w:t>
      </w:r>
      <w:r>
        <w:rPr>
          <w:rFonts w:hint="eastAsia" w:ascii="仿宋" w:hAnsi="仿宋" w:eastAsia="仿宋" w:cs="仿宋"/>
          <w:sz w:val="28"/>
        </w:rPr>
        <w:t>”—</w:t>
      </w:r>
      <w:r>
        <w:rPr>
          <w:rFonts w:hint="eastAsia" w:ascii="仿宋" w:hAnsi="仿宋" w:eastAsia="仿宋" w:cs="仿宋"/>
          <w:b/>
          <w:bCs/>
          <w:sz w:val="28"/>
        </w:rPr>
        <w:t>选择“西南财经大学继续教育学院学位论文模板（学位论文评审专用）”</w:t>
      </w:r>
      <w:r>
        <w:rPr>
          <w:rFonts w:ascii="仿宋" w:hAnsi="仿宋" w:eastAsia="仿宋" w:cs="仿宋"/>
          <w:sz w:val="28"/>
        </w:rPr>
        <w:t>（</w:t>
      </w:r>
      <w:r>
        <w:rPr>
          <w:rFonts w:hint="eastAsia" w:ascii="仿宋" w:hAnsi="仿宋" w:eastAsia="仿宋" w:cs="仿宋"/>
          <w:sz w:val="28"/>
        </w:rPr>
        <w:t>见</w:t>
      </w:r>
      <w:r>
        <w:rPr>
          <w:rFonts w:ascii="仿宋" w:hAnsi="仿宋" w:eastAsia="仿宋" w:cs="仿宋"/>
          <w:sz w:val="28"/>
        </w:rPr>
        <w:t>图</w:t>
      </w:r>
      <w:r>
        <w:rPr>
          <w:rFonts w:hint="eastAsia" w:ascii="仿宋" w:hAnsi="仿宋" w:eastAsia="仿宋" w:cs="仿宋"/>
          <w:sz w:val="28"/>
        </w:rPr>
        <w:t>6</w:t>
      </w:r>
      <w:r>
        <w:rPr>
          <w:rFonts w:ascii="仿宋" w:hAnsi="仿宋" w:eastAsia="仿宋" w:cs="仿宋"/>
          <w:sz w:val="28"/>
        </w:rPr>
        <w:t>）</w:t>
      </w:r>
      <w:r>
        <w:rPr>
          <w:rFonts w:hint="eastAsia" w:ascii="仿宋" w:hAnsi="仿宋" w:eastAsia="仿宋" w:cs="仿宋"/>
          <w:sz w:val="28"/>
        </w:rPr>
        <w:t>—</w:t>
      </w:r>
      <w:r>
        <w:rPr>
          <w:rFonts w:ascii="仿宋" w:hAnsi="仿宋" w:eastAsia="仿宋" w:cs="仿宋"/>
          <w:sz w:val="28"/>
        </w:rPr>
        <w:t>提交</w:t>
      </w:r>
      <w:r>
        <w:rPr>
          <w:rFonts w:hint="eastAsia" w:ascii="仿宋" w:hAnsi="仿宋" w:eastAsia="仿宋" w:cs="仿宋"/>
          <w:sz w:val="28"/>
        </w:rPr>
        <w:t>学位</w:t>
      </w:r>
      <w:r>
        <w:rPr>
          <w:rFonts w:ascii="仿宋" w:hAnsi="仿宋" w:eastAsia="仿宋" w:cs="仿宋"/>
          <w:sz w:val="28"/>
        </w:rPr>
        <w:t>论文文档进行格式检测</w:t>
      </w:r>
      <w:r>
        <w:rPr>
          <w:rFonts w:hint="eastAsia" w:ascii="仿宋" w:hAnsi="仿宋" w:eastAsia="仿宋" w:cs="仿宋"/>
          <w:sz w:val="28"/>
        </w:rPr>
        <w:t>，未通过检测须对</w:t>
      </w:r>
      <w:r>
        <w:rPr>
          <w:rFonts w:ascii="仿宋" w:hAnsi="仿宋" w:eastAsia="仿宋" w:cs="仿宋"/>
          <w:sz w:val="28"/>
        </w:rPr>
        <w:t>照格式检测报告修改直至合格，合格后再次点击“前往论文格式检测平台”提交论文文档进行格式检测，</w:t>
      </w:r>
      <w:r>
        <w:rPr>
          <w:rFonts w:ascii="仿宋" w:hAnsi="仿宋" w:eastAsia="仿宋" w:cs="仿宋"/>
          <w:b/>
          <w:bCs/>
          <w:sz w:val="28"/>
        </w:rPr>
        <w:t>手动点击“获取结果”按钮</w:t>
      </w:r>
      <w:r>
        <w:rPr>
          <w:rFonts w:hint="eastAsia" w:ascii="仿宋" w:hAnsi="仿宋" w:eastAsia="仿宋" w:cs="仿宋"/>
          <w:b/>
          <w:bCs/>
          <w:sz w:val="28"/>
        </w:rPr>
        <w:t>查看</w:t>
      </w:r>
      <w:r>
        <w:rPr>
          <w:rFonts w:ascii="仿宋" w:hAnsi="仿宋" w:eastAsia="仿宋" w:cs="仿宋"/>
          <w:b/>
          <w:bCs/>
          <w:sz w:val="28"/>
        </w:rPr>
        <w:t>论文格式检测结果</w:t>
      </w:r>
      <w:r>
        <w:rPr>
          <w:rFonts w:hint="eastAsia" w:ascii="仿宋" w:hAnsi="仿宋" w:eastAsia="仿宋" w:cs="仿宋"/>
          <w:sz w:val="28"/>
        </w:rPr>
        <w:t>，若未点击“获取结果”按钮则学校无法获取检测结果。</w:t>
      </w:r>
    </w:p>
    <w:p w14:paraId="5AE4A9E3">
      <w:pPr>
        <w:spacing w:after="0" w:line="580" w:lineRule="exact"/>
        <w:ind w:firstLine="560" w:firstLineChars="200"/>
        <w:rPr>
          <w:rFonts w:ascii="仿宋" w:hAnsi="仿宋" w:eastAsia="仿宋" w:cs="仿宋"/>
          <w:b/>
          <w:bCs/>
          <w:sz w:val="28"/>
        </w:rPr>
      </w:pPr>
      <w:bookmarkStart w:id="15" w:name="_Toc11021"/>
      <w:r>
        <w:rPr>
          <w:rFonts w:hint="eastAsia" w:ascii="仿宋" w:hAnsi="仿宋" w:eastAsia="仿宋" w:cs="仿宋"/>
          <w:sz w:val="28"/>
        </w:rPr>
        <w:t>学生可多次检测同一篇论文。首次检测时报告会详细标明错误内容及位置，学生可依据报告逐一进行修改；后续检测时可查看论文格式错误总数及是否合格，学生可自愿选择是否付费进一步查看详细报告，也可直接参照《西南财经大学继续教育学院本科毕业（学位）论文（设计）撰写内容与格式规范》和《西南财经大学继续教育学院本科毕业（学位）论文（设计）示例模板》自行修改直至检测合格。</w:t>
      </w:r>
      <w:bookmarkEnd w:id="15"/>
    </w:p>
    <w:p w14:paraId="2967252A">
      <w:pPr>
        <w:spacing w:after="197" w:line="281" w:lineRule="auto"/>
        <w:ind w:left="8" w:firstLine="560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drawing>
          <wp:inline distT="0" distB="0" distL="114300" distR="114300">
            <wp:extent cx="4947920" cy="3159125"/>
            <wp:effectExtent l="0" t="0" r="5080" b="3175"/>
            <wp:docPr id="6" name="图片 6" descr="1721378265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2137826574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9693" cy="316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ED9AC">
      <w:pPr>
        <w:spacing w:after="197" w:line="281" w:lineRule="auto"/>
        <w:ind w:left="8" w:firstLine="562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图6 学位论文模板</w:t>
      </w:r>
    </w:p>
    <w:p w14:paraId="600B7579">
      <w:pPr>
        <w:spacing w:after="0" w:line="580" w:lineRule="exact"/>
        <w:ind w:firstLine="562" w:firstLineChars="200"/>
        <w:jc w:val="both"/>
        <w:outlineLvl w:val="2"/>
        <w:rPr>
          <w:rFonts w:ascii="仿宋" w:hAnsi="仿宋" w:eastAsia="仿宋" w:cs="仿宋"/>
          <w:b/>
          <w:bCs/>
          <w:sz w:val="28"/>
        </w:rPr>
      </w:pPr>
      <w:bookmarkStart w:id="16" w:name="_Toc7717"/>
      <w:r>
        <w:rPr>
          <w:rFonts w:hint="eastAsia" w:ascii="仿宋" w:hAnsi="仿宋" w:eastAsia="仿宋" w:cs="仿宋"/>
          <w:b/>
          <w:bCs/>
          <w:sz w:val="28"/>
        </w:rPr>
        <w:t>2.查看学位论文</w:t>
      </w:r>
      <w:bookmarkEnd w:id="16"/>
    </w:p>
    <w:p w14:paraId="1FF26BAD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论文格式检测结果若显示【合格】，</w:t>
      </w:r>
      <w:r>
        <w:rPr>
          <w:rFonts w:ascii="仿宋" w:hAnsi="仿宋" w:eastAsia="仿宋" w:cs="仿宋"/>
          <w:sz w:val="28"/>
        </w:rPr>
        <w:t>手动点击“获取结果”</w:t>
      </w:r>
      <w:r>
        <w:rPr>
          <w:rFonts w:hint="eastAsia" w:ascii="仿宋" w:hAnsi="仿宋" w:eastAsia="仿宋" w:cs="仿宋"/>
          <w:sz w:val="28"/>
        </w:rPr>
        <w:t>后学位论文将自动对接到学位论文【查看】处，请务必点击【</w:t>
      </w:r>
      <w:r>
        <w:rPr>
          <w:rFonts w:ascii="仿宋" w:hAnsi="仿宋" w:eastAsia="仿宋" w:cs="仿宋"/>
          <w:sz w:val="28"/>
        </w:rPr>
        <w:t>查看</w:t>
      </w:r>
      <w:r>
        <w:rPr>
          <w:rFonts w:hint="eastAsia" w:ascii="仿宋" w:hAnsi="仿宋" w:eastAsia="仿宋" w:cs="仿宋"/>
          <w:sz w:val="28"/>
        </w:rPr>
        <w:t>】</w:t>
      </w:r>
      <w:r>
        <w:rPr>
          <w:rFonts w:ascii="仿宋" w:hAnsi="仿宋" w:eastAsia="仿宋" w:cs="仿宋"/>
          <w:sz w:val="28"/>
        </w:rPr>
        <w:t>按钮确认</w:t>
      </w:r>
      <w:r>
        <w:rPr>
          <w:rFonts w:hint="eastAsia" w:ascii="仿宋" w:hAnsi="仿宋" w:eastAsia="仿宋" w:cs="仿宋"/>
          <w:sz w:val="28"/>
        </w:rPr>
        <w:t>上传的学位论文</w:t>
      </w:r>
      <w:r>
        <w:rPr>
          <w:rFonts w:ascii="仿宋" w:hAnsi="仿宋" w:eastAsia="仿宋" w:cs="仿宋"/>
          <w:sz w:val="28"/>
        </w:rPr>
        <w:t>是否正确（</w:t>
      </w:r>
      <w:r>
        <w:rPr>
          <w:rFonts w:hint="eastAsia" w:ascii="仿宋" w:hAnsi="仿宋" w:eastAsia="仿宋" w:cs="仿宋"/>
          <w:sz w:val="28"/>
        </w:rPr>
        <w:t>见</w:t>
      </w:r>
      <w:r>
        <w:rPr>
          <w:rFonts w:ascii="仿宋" w:hAnsi="仿宋" w:eastAsia="仿宋" w:cs="仿宋"/>
          <w:sz w:val="28"/>
        </w:rPr>
        <w:t>图</w:t>
      </w:r>
      <w:r>
        <w:rPr>
          <w:rFonts w:hint="eastAsia" w:ascii="仿宋" w:hAnsi="仿宋" w:eastAsia="仿宋" w:cs="仿宋"/>
          <w:sz w:val="28"/>
        </w:rPr>
        <w:t>7</w:t>
      </w:r>
      <w:r>
        <w:rPr>
          <w:rFonts w:ascii="仿宋" w:hAnsi="仿宋" w:eastAsia="仿宋" w:cs="仿宋"/>
          <w:sz w:val="28"/>
        </w:rPr>
        <w:t>）</w:t>
      </w:r>
      <w:r>
        <w:rPr>
          <w:rFonts w:hint="eastAsia" w:ascii="仿宋" w:hAnsi="仿宋" w:eastAsia="仿宋" w:cs="仿宋"/>
          <w:sz w:val="28"/>
          <w:lang w:eastAsia="zh-CN"/>
        </w:rPr>
        <w:t>，格式检测后，</w:t>
      </w:r>
      <w:r>
        <w:rPr>
          <w:rFonts w:hint="eastAsia" w:ascii="仿宋" w:hAnsi="仿宋" w:eastAsia="仿宋" w:cs="仿宋"/>
          <w:sz w:val="28"/>
        </w:rPr>
        <w:t>。</w:t>
      </w:r>
    </w:p>
    <w:p w14:paraId="7D17EE56">
      <w:pPr>
        <w:ind w:left="7" w:firstLine="482"/>
      </w:pPr>
      <w:r>
        <w:rPr>
          <w:rFonts w:ascii="宋体" w:hAnsi="宋体" w:eastAsia="宋体" w:cs="宋体"/>
          <w:kern w:val="0"/>
          <w:sz w:val="24"/>
          <w:szCs w:val="24"/>
          <w:lang w:bidi="ar"/>
        </w:rPr>
        <w:drawing>
          <wp:inline distT="0" distB="0" distL="114300" distR="114300">
            <wp:extent cx="5241925" cy="2972435"/>
            <wp:effectExtent l="0" t="0" r="15875" b="1841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4969" cy="2974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6527E8">
      <w:pPr>
        <w:spacing w:line="360" w:lineRule="auto"/>
        <w:ind w:firstLine="562" w:firstLineChars="200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图7 学位论文【查看】界面</w:t>
      </w:r>
    </w:p>
    <w:p w14:paraId="0EE38714">
      <w:pPr>
        <w:spacing w:after="0" w:line="580" w:lineRule="exact"/>
        <w:ind w:firstLine="562" w:firstLineChars="200"/>
        <w:jc w:val="both"/>
        <w:outlineLvl w:val="1"/>
        <w:rPr>
          <w:rFonts w:ascii="楷体" w:hAnsi="楷体" w:eastAsia="楷体" w:cs="楷体"/>
          <w:b/>
          <w:bCs/>
          <w:color w:val="000000"/>
          <w:sz w:val="28"/>
        </w:rPr>
      </w:pPr>
      <w:r>
        <w:rPr>
          <w:rFonts w:hint="eastAsia" w:ascii="楷体" w:hAnsi="楷体" w:eastAsia="楷体" w:cs="楷体"/>
          <w:b/>
          <w:bCs/>
          <w:color w:val="000000"/>
          <w:sz w:val="28"/>
        </w:rPr>
        <w:t>（</w:t>
      </w:r>
      <w:r>
        <w:rPr>
          <w:rFonts w:hint="eastAsia" w:ascii="楷体" w:hAnsi="楷体" w:eastAsia="楷体" w:cs="楷体"/>
          <w:b/>
          <w:bCs/>
          <w:color w:val="000000"/>
          <w:sz w:val="28"/>
          <w:lang w:val="en-US" w:eastAsia="zh-CN"/>
        </w:rPr>
        <w:t>六</w:t>
      </w:r>
      <w:r>
        <w:rPr>
          <w:rFonts w:hint="eastAsia" w:ascii="楷体" w:hAnsi="楷体" w:eastAsia="楷体" w:cs="楷体"/>
          <w:b/>
          <w:bCs/>
          <w:color w:val="000000"/>
          <w:sz w:val="28"/>
        </w:rPr>
        <w:t>）上传学位论文查重报告</w:t>
      </w:r>
      <w:bookmarkEnd w:id="11"/>
    </w:p>
    <w:p w14:paraId="137DBB12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查重报告必须与申请评审的学位论文严格匹配，确认无误后点击</w:t>
      </w:r>
      <w:r>
        <w:rPr>
          <w:rFonts w:ascii="仿宋" w:hAnsi="仿宋" w:eastAsia="仿宋" w:cs="仿宋"/>
          <w:sz w:val="28"/>
        </w:rPr>
        <w:t>“学位论文查重报告”</w:t>
      </w:r>
      <w:r>
        <w:rPr>
          <w:rFonts w:hint="eastAsia" w:ascii="仿宋" w:hAnsi="仿宋" w:eastAsia="仿宋" w:cs="仿宋"/>
          <w:sz w:val="28"/>
        </w:rPr>
        <w:t>-【</w:t>
      </w:r>
      <w:r>
        <w:rPr>
          <w:rFonts w:ascii="仿宋" w:hAnsi="仿宋" w:eastAsia="仿宋" w:cs="仿宋"/>
          <w:sz w:val="28"/>
        </w:rPr>
        <w:t>上传</w:t>
      </w:r>
      <w:r>
        <w:rPr>
          <w:rFonts w:hint="eastAsia" w:ascii="仿宋" w:hAnsi="仿宋" w:eastAsia="仿宋" w:cs="仿宋"/>
          <w:sz w:val="28"/>
        </w:rPr>
        <w:t>】按钮上传最新的</w:t>
      </w:r>
      <w:r>
        <w:rPr>
          <w:rFonts w:ascii="仿宋" w:hAnsi="仿宋" w:eastAsia="仿宋" w:cs="仿宋"/>
          <w:sz w:val="28"/>
        </w:rPr>
        <w:t>查重报告，</w:t>
      </w:r>
      <w:r>
        <w:rPr>
          <w:rFonts w:hint="eastAsia" w:ascii="仿宋" w:hAnsi="仿宋" w:eastAsia="仿宋" w:cs="仿宋"/>
          <w:sz w:val="28"/>
        </w:rPr>
        <w:t>完成后务必</w:t>
      </w:r>
      <w:r>
        <w:rPr>
          <w:rFonts w:ascii="仿宋" w:hAnsi="仿宋" w:eastAsia="仿宋" w:cs="仿宋"/>
          <w:sz w:val="28"/>
        </w:rPr>
        <w:t>通过</w:t>
      </w:r>
      <w:r>
        <w:rPr>
          <w:rFonts w:hint="eastAsia" w:ascii="仿宋" w:hAnsi="仿宋" w:eastAsia="仿宋" w:cs="仿宋"/>
          <w:sz w:val="28"/>
        </w:rPr>
        <w:t>【</w:t>
      </w:r>
      <w:r>
        <w:rPr>
          <w:rFonts w:ascii="仿宋" w:hAnsi="仿宋" w:eastAsia="仿宋" w:cs="仿宋"/>
          <w:sz w:val="28"/>
        </w:rPr>
        <w:t>查看</w:t>
      </w:r>
      <w:r>
        <w:rPr>
          <w:rFonts w:hint="eastAsia" w:ascii="仿宋" w:hAnsi="仿宋" w:eastAsia="仿宋" w:cs="仿宋"/>
          <w:sz w:val="28"/>
        </w:rPr>
        <w:t>】</w:t>
      </w:r>
      <w:r>
        <w:rPr>
          <w:rFonts w:ascii="仿宋" w:hAnsi="仿宋" w:eastAsia="仿宋" w:cs="仿宋"/>
          <w:sz w:val="28"/>
        </w:rPr>
        <w:t>按钮确认</w:t>
      </w:r>
      <w:r>
        <w:rPr>
          <w:rFonts w:hint="eastAsia" w:ascii="仿宋" w:hAnsi="仿宋" w:eastAsia="仿宋" w:cs="仿宋"/>
          <w:sz w:val="28"/>
        </w:rPr>
        <w:t>上传的查重报告</w:t>
      </w:r>
      <w:r>
        <w:rPr>
          <w:rFonts w:ascii="仿宋" w:hAnsi="仿宋" w:eastAsia="仿宋" w:cs="仿宋"/>
          <w:sz w:val="28"/>
        </w:rPr>
        <w:t>是否正确（</w:t>
      </w:r>
      <w:r>
        <w:rPr>
          <w:rFonts w:hint="eastAsia" w:ascii="仿宋" w:hAnsi="仿宋" w:eastAsia="仿宋" w:cs="仿宋"/>
          <w:sz w:val="28"/>
        </w:rPr>
        <w:t>见</w:t>
      </w:r>
      <w:r>
        <w:rPr>
          <w:rFonts w:ascii="仿宋" w:hAnsi="仿宋" w:eastAsia="仿宋" w:cs="仿宋"/>
          <w:sz w:val="28"/>
        </w:rPr>
        <w:t>图</w:t>
      </w:r>
      <w:r>
        <w:rPr>
          <w:rFonts w:hint="eastAsia" w:ascii="仿宋" w:hAnsi="仿宋" w:eastAsia="仿宋" w:cs="仿宋"/>
          <w:sz w:val="28"/>
        </w:rPr>
        <w:t>8</w:t>
      </w:r>
      <w:r>
        <w:rPr>
          <w:rFonts w:ascii="仿宋" w:hAnsi="仿宋" w:eastAsia="仿宋" w:cs="仿宋"/>
          <w:sz w:val="28"/>
        </w:rPr>
        <w:t>）。</w:t>
      </w:r>
    </w:p>
    <w:p w14:paraId="5AD8ED50">
      <w:pPr>
        <w:spacing w:after="197" w:line="281" w:lineRule="auto"/>
        <w:ind w:left="8" w:firstLine="562"/>
        <w:jc w:val="center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drawing>
          <wp:inline distT="0" distB="0" distL="114300" distR="114300">
            <wp:extent cx="5030470" cy="3575685"/>
            <wp:effectExtent l="0" t="0" r="0" b="5715"/>
            <wp:docPr id="8" name="图片 8" descr="1721187093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2118709322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824" cy="358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30C03">
      <w:pPr>
        <w:spacing w:after="197" w:line="281" w:lineRule="auto"/>
        <w:ind w:left="8" w:firstLine="562"/>
        <w:jc w:val="center"/>
        <w:rPr>
          <w:rFonts w:ascii="宋体" w:hAnsi="宋体" w:eastAsia="宋体" w:cs="Arial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z w:val="28"/>
        </w:rPr>
        <w:t>图8 “学位论文查重报告”-【上传】界面</w:t>
      </w:r>
    </w:p>
    <w:p w14:paraId="28034B0F">
      <w:pPr>
        <w:pStyle w:val="2"/>
      </w:pPr>
      <w:bookmarkStart w:id="17" w:name="_Toc12816"/>
      <w:r>
        <w:t>四</w:t>
      </w:r>
      <w:r>
        <w:rPr>
          <w:rFonts w:hint="eastAsia"/>
        </w:rPr>
        <w:t>、</w:t>
      </w:r>
      <w:r>
        <w:t>学位论文材料初审</w:t>
      </w:r>
      <w:bookmarkEnd w:id="17"/>
    </w:p>
    <w:p w14:paraId="5BC6CACF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初审主要审查材料是否提交齐全，查重报告和格式检测等是否符合相关要求，学校将通过“维普论文检测系统”对学位论文送检查重，</w:t>
      </w:r>
      <w:r>
        <w:rPr>
          <w:rFonts w:hint="eastAsia" w:ascii="仿宋" w:hAnsi="仿宋" w:eastAsia="仿宋" w:cs="仿宋"/>
          <w:sz w:val="28"/>
        </w:rPr>
        <w:t>最终结果以学校查重报告为准。</w:t>
      </w:r>
      <w:r>
        <w:rPr>
          <w:rFonts w:hint="eastAsia" w:ascii="仿宋" w:hAnsi="仿宋" w:eastAsia="仿宋" w:cs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每位学生仅有1次初审机会，初审结束统一发布结果，请务必确保材料符合要求后再上传。初审通过后将自动进入专家评审环节；初审不通过学位论文评审流程将终止，不可修改或者再次提交。</w:t>
      </w:r>
    </w:p>
    <w:p w14:paraId="35AB636E">
      <w:pPr>
        <w:pStyle w:val="2"/>
      </w:pPr>
      <w:bookmarkStart w:id="18" w:name="_Toc21599"/>
      <w:r>
        <w:t>五</w:t>
      </w:r>
      <w:r>
        <w:rPr>
          <w:rFonts w:hint="eastAsia"/>
        </w:rPr>
        <w:t>、</w:t>
      </w:r>
      <w:r>
        <w:t>学位论文专家评审</w:t>
      </w:r>
      <w:bookmarkEnd w:id="18"/>
    </w:p>
    <w:p w14:paraId="01B7158E">
      <w:pPr>
        <w:spacing w:after="0" w:line="580" w:lineRule="exact"/>
        <w:ind w:firstLine="562" w:firstLineChars="200"/>
        <w:jc w:val="both"/>
        <w:outlineLvl w:val="1"/>
        <w:rPr>
          <w:rFonts w:ascii="楷体" w:hAnsi="楷体" w:eastAsia="楷体" w:cs="楷体"/>
          <w:b/>
          <w:bCs/>
          <w:color w:val="000000"/>
          <w:sz w:val="28"/>
        </w:rPr>
      </w:pPr>
      <w:bookmarkStart w:id="19" w:name="_Toc23344"/>
      <w:r>
        <w:rPr>
          <w:rFonts w:hint="eastAsia" w:ascii="楷体" w:hAnsi="楷体" w:eastAsia="楷体" w:cs="楷体"/>
          <w:b/>
          <w:bCs/>
          <w:color w:val="000000"/>
          <w:sz w:val="28"/>
        </w:rPr>
        <w:t>（一）学位论文专家评审</w:t>
      </w:r>
      <w:bookmarkEnd w:id="19"/>
    </w:p>
    <w:p w14:paraId="1BB589E1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学位论文</w:t>
      </w:r>
      <w:r>
        <w:rPr>
          <w:rFonts w:ascii="仿宋" w:hAnsi="仿宋" w:eastAsia="仿宋" w:cs="仿宋"/>
          <w:sz w:val="28"/>
        </w:rPr>
        <w:t>材料初审通过后，将自动进入专家评审环节</w:t>
      </w:r>
      <w:r>
        <w:rPr>
          <w:rFonts w:hint="eastAsia" w:ascii="仿宋" w:hAnsi="仿宋" w:eastAsia="仿宋" w:cs="仿宋"/>
          <w:sz w:val="28"/>
        </w:rPr>
        <w:t>。校内外评审专家将参照《西南财经大学继续教育学院本科毕业论文（设计）参考评分标准》，对论文的学术诚信、格式规范、意识形态、选题意义、写作安排、逻辑构建、专业能力及研究水平等方面开展严格审查。</w:t>
      </w:r>
      <w:r>
        <w:rPr>
          <w:rFonts w:hint="eastAsia" w:ascii="仿宋" w:hAnsi="仿宋" w:eastAsia="仿宋" w:cs="仿宋"/>
          <w:b/>
          <w:bCs/>
          <w:sz w:val="28"/>
        </w:rPr>
        <w:t>每位学生仅有1次专家评审的机会</w:t>
      </w:r>
      <w:r>
        <w:rPr>
          <w:rFonts w:hint="eastAsia" w:ascii="仿宋" w:hAnsi="仿宋" w:eastAsia="仿宋" w:cs="仿宋"/>
          <w:sz w:val="28"/>
        </w:rPr>
        <w:t>，若未通过专家评审，可在规定时间内参照专家评审意见修改论文后申请专家复审。</w:t>
      </w:r>
    </w:p>
    <w:p w14:paraId="43AA070A">
      <w:pPr>
        <w:spacing w:after="0" w:line="580" w:lineRule="exact"/>
        <w:ind w:firstLine="562" w:firstLineChars="200"/>
        <w:jc w:val="both"/>
        <w:outlineLvl w:val="1"/>
        <w:rPr>
          <w:rFonts w:ascii="楷体" w:hAnsi="楷体" w:eastAsia="楷体" w:cs="楷体"/>
          <w:b/>
          <w:bCs/>
          <w:color w:val="000000"/>
          <w:sz w:val="28"/>
        </w:rPr>
      </w:pPr>
      <w:bookmarkStart w:id="20" w:name="_Toc17392"/>
      <w:r>
        <w:rPr>
          <w:rFonts w:hint="eastAsia" w:ascii="楷体" w:hAnsi="楷体" w:eastAsia="楷体" w:cs="楷体"/>
          <w:b/>
          <w:bCs/>
          <w:color w:val="000000"/>
          <w:sz w:val="28"/>
        </w:rPr>
        <w:t>（二）学位论文专家复审</w:t>
      </w:r>
      <w:bookmarkEnd w:id="20"/>
    </w:p>
    <w:p w14:paraId="3C57099A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学生须在规定时间内申请复审并提交复审所需材料，每位学生仅有1次申请专家复审的机会。提交材料前务必根据专家评审意见认真修改学位论文，重新完成查重和格式检测，提交符合要求的学位论文及维普查重报告。未在规定时间内提交材料视为自动放弃参加学位论文复审。</w:t>
      </w:r>
    </w:p>
    <w:p w14:paraId="164ED31F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参加复审的学位论文将由学校统一送检查重，最终结果以学校查重报告为准。学校将通过技术手段审查学位论文修改情况，若发现学位论文未作任何修改，或提交的材料不符合评审要求，将直接取消复审资格。</w:t>
      </w:r>
    </w:p>
    <w:p w14:paraId="36AF6912">
      <w:pPr>
        <w:spacing w:after="0" w:line="580" w:lineRule="exact"/>
        <w:ind w:firstLine="643" w:firstLineChars="200"/>
        <w:jc w:val="both"/>
        <w:outlineLvl w:val="0"/>
        <w:rPr>
          <w:rFonts w:ascii="黑体" w:hAnsi="黑体" w:eastAsia="黑体" w:cs="仿宋"/>
          <w:b/>
          <w:bCs/>
          <w:sz w:val="32"/>
          <w:szCs w:val="32"/>
        </w:rPr>
      </w:pPr>
      <w:bookmarkStart w:id="21" w:name="_Toc32453"/>
      <w:r>
        <w:rPr>
          <w:rFonts w:hint="eastAsia" w:ascii="黑体" w:hAnsi="黑体" w:eastAsia="黑体" w:cs="仿宋"/>
          <w:b/>
          <w:bCs/>
          <w:sz w:val="32"/>
          <w:szCs w:val="32"/>
        </w:rPr>
        <w:t>六、申诉与复核</w:t>
      </w:r>
      <w:bookmarkEnd w:id="21"/>
    </w:p>
    <w:p w14:paraId="7F355056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若对复审结果存在异议，应严格按照申诉程序，于复审结果公布后的3日内提交申诉材料，详细列明需要申诉的问题，</w:t>
      </w:r>
      <w:r>
        <w:rPr>
          <w:rFonts w:hint="eastAsia" w:ascii="仿宋" w:hAnsi="仿宋" w:eastAsia="仿宋" w:cs="仿宋"/>
          <w:color w:val="FF0000"/>
          <w:sz w:val="28"/>
        </w:rPr>
        <w:t>申诉内容必须是针对评审意见本身提出的异议（申诉事项应在“申诉内容”中详细列明，以便学院复核。若申诉事项与本次评审工作无关，将视为无效申诉，不予受理。），</w:t>
      </w:r>
      <w:r>
        <w:rPr>
          <w:rFonts w:hint="eastAsia" w:ascii="仿宋" w:hAnsi="仿宋" w:eastAsia="仿宋" w:cs="仿宋"/>
          <w:sz w:val="28"/>
        </w:rPr>
        <w:t>经所属教学点和学院审批同意后，提交评审专家进行复核，复核完成后学院将规定期限内返回申诉结果和复核意见。</w:t>
      </w:r>
    </w:p>
    <w:p w14:paraId="39B23FC4">
      <w:pPr>
        <w:pStyle w:val="2"/>
        <w:rPr>
          <w:rFonts w:ascii="宋体" w:hAnsi="宋体" w:eastAsia="宋体" w:cs="Arial"/>
          <w:sz w:val="24"/>
          <w:shd w:val="clear" w:color="auto" w:fill="FFFFFF"/>
        </w:rPr>
      </w:pPr>
      <w:bookmarkStart w:id="22" w:name="_Toc26870"/>
      <w:r>
        <w:rPr>
          <w:rFonts w:hint="eastAsia"/>
        </w:rPr>
        <w:t>七、</w:t>
      </w:r>
      <w:r>
        <w:t>咨询服务</w:t>
      </w:r>
      <w:bookmarkEnd w:id="22"/>
    </w:p>
    <w:p w14:paraId="513A99FF">
      <w:pPr>
        <w:adjustRightInd w:val="0"/>
        <w:snapToGrid w:val="0"/>
        <w:spacing w:after="0" w:line="360" w:lineRule="auto"/>
        <w:ind w:firstLine="560" w:firstLineChars="200"/>
        <w:jc w:val="both"/>
        <w:rPr>
          <w:rFonts w:ascii="仿宋" w:hAnsi="仿宋" w:eastAsia="仿宋" w:cs="仿宋"/>
          <w:sz w:val="28"/>
        </w:rPr>
      </w:pPr>
      <w:bookmarkStart w:id="23" w:name="_Hlk172664966"/>
      <w:r>
        <w:rPr>
          <w:rFonts w:hint="eastAsia" w:ascii="仿宋" w:hAnsi="仿宋" w:eastAsia="仿宋" w:cs="仿宋"/>
          <w:sz w:val="28"/>
        </w:rPr>
        <w:t>1.若在评审过程中有任何问题，请与所属教学点联系或拨打028-87352937咨询。</w:t>
      </w:r>
      <w:bookmarkEnd w:id="23"/>
      <w:bookmarkStart w:id="24" w:name="_GoBack"/>
      <w:bookmarkEnd w:id="24"/>
    </w:p>
    <w:p w14:paraId="12635A18">
      <w:pPr>
        <w:spacing w:after="0" w:line="580" w:lineRule="exact"/>
        <w:ind w:firstLine="560" w:firstLineChars="200"/>
        <w:jc w:val="both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2.如对格式检测结果有疑问，请在“检测报告”页面点击“检测报告咨询”，客服将于每天09:00-23:00逐一核实及回复。</w:t>
      </w:r>
    </w:p>
    <w:sectPr>
      <w:footerReference r:id="rId7" w:type="default"/>
      <w:pgSz w:w="11906" w:h="16838"/>
      <w:pgMar w:top="1452" w:right="1515" w:bottom="1019" w:left="180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ABA7E">
    <w:pPr>
      <w:spacing w:after="0"/>
      <w:ind w:left="7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5FDEB">
    <w:pPr>
      <w:spacing w:after="0"/>
      <w:ind w:left="11" w:firstLine="643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B8F7C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B8F7C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E2C41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0208A9"/>
    <w:multiLevelType w:val="singleLevel"/>
    <w:tmpl w:val="1D0208A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yZTQ0YzI3M2RkMjYyNTI3YThkZWQ5Zjk4MmZjMTcifQ=="/>
  </w:docVars>
  <w:rsids>
    <w:rsidRoot w:val="00EC7C0E"/>
    <w:rsid w:val="00054FDF"/>
    <w:rsid w:val="000610DF"/>
    <w:rsid w:val="000A796E"/>
    <w:rsid w:val="000E00C2"/>
    <w:rsid w:val="000E6156"/>
    <w:rsid w:val="003409C1"/>
    <w:rsid w:val="00353F8A"/>
    <w:rsid w:val="00391DF2"/>
    <w:rsid w:val="00445F90"/>
    <w:rsid w:val="00467637"/>
    <w:rsid w:val="004C6D3E"/>
    <w:rsid w:val="00510D57"/>
    <w:rsid w:val="0063248F"/>
    <w:rsid w:val="006C508C"/>
    <w:rsid w:val="006F4F38"/>
    <w:rsid w:val="007D0CE2"/>
    <w:rsid w:val="007D4655"/>
    <w:rsid w:val="007E2412"/>
    <w:rsid w:val="00996769"/>
    <w:rsid w:val="00A44CF5"/>
    <w:rsid w:val="00AB4455"/>
    <w:rsid w:val="00D20494"/>
    <w:rsid w:val="00DF2B1D"/>
    <w:rsid w:val="00E23CB0"/>
    <w:rsid w:val="00EC7C0E"/>
    <w:rsid w:val="04CA5ED8"/>
    <w:rsid w:val="1AFD7AF0"/>
    <w:rsid w:val="346C0A2A"/>
    <w:rsid w:val="3BFA2148"/>
    <w:rsid w:val="46614882"/>
    <w:rsid w:val="475016AA"/>
    <w:rsid w:val="49063B03"/>
    <w:rsid w:val="4DC156E9"/>
    <w:rsid w:val="4E6418B6"/>
    <w:rsid w:val="55A515C7"/>
    <w:rsid w:val="561202E1"/>
    <w:rsid w:val="58AD704A"/>
    <w:rsid w:val="58BF090B"/>
    <w:rsid w:val="5CE154D6"/>
    <w:rsid w:val="637B561B"/>
    <w:rsid w:val="64E42046"/>
    <w:rsid w:val="6B4E646B"/>
    <w:rsid w:val="6DD945F0"/>
    <w:rsid w:val="72132689"/>
    <w:rsid w:val="7908404B"/>
    <w:rsid w:val="7A072743"/>
    <w:rsid w:val="7A6E781B"/>
    <w:rsid w:val="7C5C7D93"/>
    <w:rsid w:val="7DA7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next w:val="1"/>
    <w:link w:val="11"/>
    <w:autoRedefine/>
    <w:qFormat/>
    <w:uiPriority w:val="9"/>
    <w:pPr>
      <w:keepNext/>
      <w:keepLines/>
      <w:spacing w:line="580" w:lineRule="exact"/>
      <w:ind w:firstLine="643" w:firstLineChars="200"/>
      <w:jc w:val="both"/>
      <w:outlineLvl w:val="0"/>
    </w:pPr>
    <w:rPr>
      <w:rFonts w:ascii="黑体" w:hAnsi="黑体" w:eastAsia="黑体" w:cs="黑体"/>
      <w:b/>
      <w:bCs/>
      <w:color w:val="000000"/>
      <w:kern w:val="2"/>
      <w:sz w:val="32"/>
      <w:szCs w:val="22"/>
      <w:lang w:val="en-US" w:eastAsia="zh-CN" w:bidi="ar-SA"/>
    </w:rPr>
  </w:style>
  <w:style w:type="paragraph" w:styleId="3">
    <w:name w:val="heading 2"/>
    <w:next w:val="1"/>
    <w:link w:val="12"/>
    <w:autoRedefine/>
    <w:unhideWhenUsed/>
    <w:qFormat/>
    <w:uiPriority w:val="9"/>
    <w:pPr>
      <w:keepNext/>
      <w:keepLines/>
      <w:spacing w:line="580" w:lineRule="exact"/>
      <w:ind w:firstLine="562" w:firstLineChars="200"/>
      <w:jc w:val="both"/>
      <w:outlineLvl w:val="1"/>
    </w:pPr>
    <w:rPr>
      <w:rFonts w:ascii="楷体" w:hAnsi="楷体" w:eastAsia="楷体" w:cs="楷体"/>
      <w:b/>
      <w:bCs/>
      <w:color w:val="000000"/>
      <w:kern w:val="2"/>
      <w:sz w:val="28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unhideWhenUsed/>
    <w:qFormat/>
    <w:uiPriority w:val="39"/>
  </w:style>
  <w:style w:type="paragraph" w:styleId="8">
    <w:name w:val="toc 2"/>
    <w:basedOn w:val="1"/>
    <w:next w:val="1"/>
    <w:semiHidden/>
    <w:unhideWhenUsed/>
    <w:qFormat/>
    <w:uiPriority w:val="39"/>
    <w:pPr>
      <w:ind w:left="420" w:leftChars="200"/>
    </w:pPr>
  </w:style>
  <w:style w:type="character" w:customStyle="1" w:styleId="11">
    <w:name w:val="标题 1 字符"/>
    <w:basedOn w:val="10"/>
    <w:link w:val="2"/>
    <w:autoRedefine/>
    <w:qFormat/>
    <w:uiPriority w:val="9"/>
    <w:rPr>
      <w:rFonts w:ascii="黑体" w:hAnsi="黑体" w:eastAsia="黑体" w:cs="黑体"/>
      <w:b/>
      <w:bCs/>
      <w:color w:val="000000"/>
      <w:sz w:val="32"/>
      <w:szCs w:val="22"/>
    </w:rPr>
  </w:style>
  <w:style w:type="character" w:customStyle="1" w:styleId="12">
    <w:name w:val="标题 2 字符"/>
    <w:basedOn w:val="10"/>
    <w:link w:val="3"/>
    <w:qFormat/>
    <w:uiPriority w:val="9"/>
    <w:rPr>
      <w:rFonts w:ascii="楷体" w:hAnsi="楷体" w:eastAsia="楷体" w:cs="楷体"/>
      <w:b/>
      <w:bCs/>
      <w:color w:val="000000"/>
      <w:sz w:val="28"/>
    </w:rPr>
  </w:style>
  <w:style w:type="character" w:customStyle="1" w:styleId="13">
    <w:name w:val="页脚 字符"/>
    <w:basedOn w:val="10"/>
    <w:link w:val="5"/>
    <w:qFormat/>
    <w:uiPriority w:val="99"/>
    <w:rPr>
      <w:rFonts w:ascii="Calibri" w:hAnsi="Calibri" w:eastAsia="Calibri" w:cs="Calibri"/>
      <w:color w:val="000000"/>
      <w:sz w:val="18"/>
    </w:rPr>
  </w:style>
  <w:style w:type="character" w:customStyle="1" w:styleId="14">
    <w:name w:val="页眉 字符"/>
    <w:basedOn w:val="10"/>
    <w:link w:val="6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7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8">
    <w:name w:val="样式3"/>
    <w:basedOn w:val="1"/>
    <w:qFormat/>
    <w:uiPriority w:val="0"/>
    <w:pPr>
      <w:spacing w:after="0" w:line="580" w:lineRule="exact"/>
      <w:ind w:firstLine="560" w:firstLineChars="200"/>
      <w:jc w:val="both"/>
    </w:pPr>
    <w:rPr>
      <w:rFonts w:ascii="仿宋" w:hAnsi="仿宋" w:eastAsia="仿宋" w:cs="仿宋"/>
      <w:sz w:val="28"/>
    </w:rPr>
  </w:style>
  <w:style w:type="paragraph" w:customStyle="1" w:styleId="19">
    <w:name w:val="样式4"/>
    <w:basedOn w:val="1"/>
    <w:qFormat/>
    <w:uiPriority w:val="0"/>
    <w:pPr>
      <w:spacing w:after="0" w:line="580" w:lineRule="exact"/>
      <w:ind w:firstLine="560" w:firstLineChars="200"/>
      <w:jc w:val="both"/>
    </w:pPr>
    <w:rPr>
      <w:rFonts w:ascii="仿宋" w:hAnsi="仿宋" w:eastAsia="仿宋" w:cs="仿宋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2873</Words>
  <Characters>2990</Characters>
  <Lines>32</Lines>
  <Paragraphs>9</Paragraphs>
  <TotalTime>334</TotalTime>
  <ScaleCrop>false</ScaleCrop>
  <LinksUpToDate>false</LinksUpToDate>
  <CharactersWithSpaces>5162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2024-07-23T10:48:00Z</dcterms:created>
  <dc:creator>XN</dc:creator>
  <cp:lastModifiedBy>李自利</cp:lastModifiedBy>
  <dcterms:modified xsi:type="dcterms:W3CDTF">2026-07-15T08:19:10Z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43978556E55744DBA35E0100D1BD2684_12</vt:lpwstr>
  </property>
  <property fmtid="{D5CDD505-2E9C-101B-9397-08002B2CF9AE}" pid="4" name="KSOTemplateDocerSaveRecord">
    <vt:lpwstr>eyJoZGlkIjoiMDA1M2QyNjg0YjIwNWZmZGM4ZDcxMTg0MmM4OWYxMTciLCJ1c2VySWQiOiIxNjczOTQ2NTU5In0=</vt:lpwstr>
  </property>
</Properties>
</file>